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58B60" w14:textId="77777777" w:rsidR="00F10217" w:rsidRDefault="00F10217">
      <w:pPr>
        <w:rPr>
          <w:sz w:val="28"/>
          <w:szCs w:val="28"/>
        </w:rPr>
      </w:pPr>
    </w:p>
    <w:p w14:paraId="5090AAB4" w14:textId="77777777" w:rsidR="00F10217" w:rsidRDefault="00F10217">
      <w:pPr>
        <w:rPr>
          <w:sz w:val="28"/>
          <w:szCs w:val="28"/>
        </w:rPr>
      </w:pPr>
    </w:p>
    <w:p w14:paraId="58F1AA82" w14:textId="77777777" w:rsidR="00F10217" w:rsidRDefault="00F10217">
      <w:pPr>
        <w:rPr>
          <w:sz w:val="28"/>
          <w:szCs w:val="28"/>
        </w:rPr>
      </w:pPr>
    </w:p>
    <w:p w14:paraId="4A272560" w14:textId="77777777" w:rsidR="00F10217" w:rsidRDefault="00F10217">
      <w:pPr>
        <w:rPr>
          <w:sz w:val="28"/>
          <w:szCs w:val="28"/>
        </w:rPr>
      </w:pPr>
    </w:p>
    <w:p w14:paraId="5AD1C025" w14:textId="77777777" w:rsidR="00F10217" w:rsidRDefault="00F10217">
      <w:pPr>
        <w:rPr>
          <w:sz w:val="28"/>
          <w:szCs w:val="28"/>
        </w:rPr>
      </w:pPr>
    </w:p>
    <w:p w14:paraId="3BC53757" w14:textId="2B02D425" w:rsidR="00F10217" w:rsidRDefault="00CA0103">
      <w:pPr>
        <w:spacing w:line="600" w:lineRule="auto"/>
        <w:jc w:val="center"/>
        <w:rPr>
          <w:b/>
          <w:bCs/>
          <w:sz w:val="48"/>
          <w:szCs w:val="48"/>
        </w:rPr>
      </w:pPr>
      <w:r>
        <w:rPr>
          <w:rFonts w:hint="eastAsia"/>
          <w:b/>
          <w:bCs/>
          <w:sz w:val="48"/>
          <w:szCs w:val="48"/>
        </w:rPr>
        <w:t>天津</w:t>
      </w:r>
      <w:r w:rsidR="00335DAF">
        <w:rPr>
          <w:rFonts w:hint="eastAsia"/>
          <w:b/>
          <w:bCs/>
          <w:sz w:val="48"/>
          <w:szCs w:val="48"/>
        </w:rPr>
        <w:t>正道机械制造</w:t>
      </w:r>
      <w:r>
        <w:rPr>
          <w:rFonts w:hint="eastAsia"/>
          <w:b/>
          <w:bCs/>
          <w:sz w:val="48"/>
          <w:szCs w:val="48"/>
        </w:rPr>
        <w:t>有限公司</w:t>
      </w:r>
    </w:p>
    <w:p w14:paraId="17E8CDAA" w14:textId="77777777" w:rsidR="00F10217" w:rsidRDefault="00CA0103">
      <w:pPr>
        <w:spacing w:line="600" w:lineRule="auto"/>
        <w:jc w:val="center"/>
        <w:rPr>
          <w:b/>
          <w:bCs/>
          <w:sz w:val="48"/>
          <w:szCs w:val="48"/>
        </w:rPr>
      </w:pPr>
      <w:r>
        <w:rPr>
          <w:rFonts w:hint="eastAsia"/>
          <w:b/>
          <w:bCs/>
          <w:sz w:val="48"/>
          <w:szCs w:val="48"/>
        </w:rPr>
        <w:t>汽车零部件碳足迹自评价报告</w:t>
      </w:r>
    </w:p>
    <w:p w14:paraId="5926AA0E" w14:textId="77777777" w:rsidR="00F10217" w:rsidRDefault="00F10217">
      <w:pPr>
        <w:rPr>
          <w:sz w:val="28"/>
          <w:szCs w:val="28"/>
        </w:rPr>
      </w:pPr>
    </w:p>
    <w:p w14:paraId="3B56B6E0" w14:textId="77777777" w:rsidR="00F10217" w:rsidRDefault="00F10217">
      <w:pPr>
        <w:rPr>
          <w:sz w:val="28"/>
          <w:szCs w:val="28"/>
        </w:rPr>
      </w:pPr>
    </w:p>
    <w:p w14:paraId="08B27669" w14:textId="77777777" w:rsidR="00F10217" w:rsidRDefault="00F10217">
      <w:pPr>
        <w:rPr>
          <w:sz w:val="28"/>
          <w:szCs w:val="28"/>
        </w:rPr>
      </w:pPr>
    </w:p>
    <w:p w14:paraId="4175551D" w14:textId="77777777" w:rsidR="00F10217" w:rsidRDefault="00F10217">
      <w:pPr>
        <w:rPr>
          <w:sz w:val="28"/>
          <w:szCs w:val="28"/>
        </w:rPr>
      </w:pPr>
    </w:p>
    <w:p w14:paraId="4D4F1180" w14:textId="77777777" w:rsidR="00F10217" w:rsidRDefault="00F10217">
      <w:pPr>
        <w:rPr>
          <w:sz w:val="28"/>
          <w:szCs w:val="28"/>
        </w:rPr>
      </w:pPr>
    </w:p>
    <w:p w14:paraId="6D5F3EC7" w14:textId="77777777" w:rsidR="00F10217" w:rsidRDefault="00F10217">
      <w:pPr>
        <w:rPr>
          <w:sz w:val="28"/>
          <w:szCs w:val="28"/>
        </w:rPr>
      </w:pPr>
    </w:p>
    <w:p w14:paraId="79F84BFB" w14:textId="77777777" w:rsidR="00F10217" w:rsidRDefault="00F10217">
      <w:pPr>
        <w:rPr>
          <w:sz w:val="28"/>
          <w:szCs w:val="28"/>
        </w:rPr>
      </w:pPr>
    </w:p>
    <w:p w14:paraId="4587C768" w14:textId="77777777" w:rsidR="00F10217" w:rsidRDefault="00F10217">
      <w:pPr>
        <w:rPr>
          <w:sz w:val="28"/>
          <w:szCs w:val="28"/>
        </w:rPr>
      </w:pPr>
    </w:p>
    <w:p w14:paraId="04F9B7ED" w14:textId="77777777" w:rsidR="00F10217" w:rsidRDefault="00F10217">
      <w:pPr>
        <w:rPr>
          <w:sz w:val="28"/>
          <w:szCs w:val="28"/>
        </w:rPr>
      </w:pPr>
    </w:p>
    <w:p w14:paraId="7B11BC16" w14:textId="77777777" w:rsidR="00F10217" w:rsidRDefault="00F10217">
      <w:pPr>
        <w:rPr>
          <w:sz w:val="28"/>
          <w:szCs w:val="28"/>
        </w:rPr>
      </w:pPr>
    </w:p>
    <w:p w14:paraId="726992A6" w14:textId="650E043C" w:rsidR="00F10217" w:rsidRDefault="00CA0103">
      <w:pPr>
        <w:jc w:val="center"/>
        <w:rPr>
          <w:sz w:val="36"/>
          <w:szCs w:val="36"/>
        </w:rPr>
      </w:pPr>
      <w:r>
        <w:rPr>
          <w:rFonts w:hint="eastAsia"/>
          <w:sz w:val="36"/>
          <w:szCs w:val="36"/>
        </w:rPr>
        <w:t>天津</w:t>
      </w:r>
      <w:r w:rsidR="00335DAF">
        <w:rPr>
          <w:rFonts w:hint="eastAsia"/>
          <w:sz w:val="36"/>
          <w:szCs w:val="36"/>
        </w:rPr>
        <w:t>正道机械制造</w:t>
      </w:r>
      <w:r>
        <w:rPr>
          <w:rFonts w:hint="eastAsia"/>
          <w:sz w:val="36"/>
          <w:szCs w:val="36"/>
        </w:rPr>
        <w:t>有限公司</w:t>
      </w:r>
    </w:p>
    <w:p w14:paraId="572BD17B" w14:textId="77777777" w:rsidR="00F10217" w:rsidRDefault="00CA0103">
      <w:pPr>
        <w:jc w:val="center"/>
        <w:rPr>
          <w:sz w:val="36"/>
          <w:szCs w:val="36"/>
        </w:rPr>
      </w:pPr>
      <w:r>
        <w:rPr>
          <w:rFonts w:hint="eastAsia"/>
          <w:sz w:val="36"/>
          <w:szCs w:val="36"/>
        </w:rPr>
        <w:t>2020</w:t>
      </w:r>
      <w:r>
        <w:rPr>
          <w:rFonts w:hint="eastAsia"/>
          <w:sz w:val="36"/>
          <w:szCs w:val="36"/>
        </w:rPr>
        <w:t>年</w:t>
      </w:r>
      <w:r>
        <w:rPr>
          <w:rFonts w:hint="eastAsia"/>
          <w:sz w:val="36"/>
          <w:szCs w:val="36"/>
        </w:rPr>
        <w:t>3</w:t>
      </w:r>
      <w:r>
        <w:rPr>
          <w:rFonts w:hint="eastAsia"/>
          <w:sz w:val="36"/>
          <w:szCs w:val="36"/>
        </w:rPr>
        <w:t>月</w:t>
      </w:r>
    </w:p>
    <w:p w14:paraId="47103A2B" w14:textId="77777777" w:rsidR="00F10217" w:rsidRDefault="00CA0103">
      <w:pPr>
        <w:rPr>
          <w:sz w:val="28"/>
          <w:szCs w:val="28"/>
        </w:rPr>
      </w:pPr>
      <w:r>
        <w:rPr>
          <w:rFonts w:hint="eastAsia"/>
          <w:sz w:val="28"/>
          <w:szCs w:val="28"/>
        </w:rPr>
        <w:br w:type="page"/>
      </w:r>
    </w:p>
    <w:p w14:paraId="54945F55" w14:textId="77777777" w:rsidR="00F10217" w:rsidRDefault="00CA0103">
      <w:pPr>
        <w:numPr>
          <w:ilvl w:val="0"/>
          <w:numId w:val="1"/>
        </w:numPr>
        <w:outlineLvl w:val="0"/>
        <w:rPr>
          <w:rFonts w:ascii="仿宋" w:eastAsia="仿宋" w:hAnsi="仿宋" w:cs="仿宋"/>
          <w:b/>
          <w:bCs/>
          <w:sz w:val="28"/>
          <w:szCs w:val="28"/>
        </w:rPr>
      </w:pPr>
      <w:r>
        <w:rPr>
          <w:rFonts w:ascii="仿宋" w:eastAsia="仿宋" w:hAnsi="仿宋" w:cs="仿宋" w:hint="eastAsia"/>
          <w:b/>
          <w:bCs/>
          <w:sz w:val="28"/>
          <w:szCs w:val="28"/>
        </w:rPr>
        <w:lastRenderedPageBreak/>
        <w:t>执行摘要</w:t>
      </w:r>
    </w:p>
    <w:p w14:paraId="5B1A264E" w14:textId="4C6C1612" w:rsidR="00F10217" w:rsidRDefault="00CA0103">
      <w:pPr>
        <w:widowControl/>
        <w:ind w:firstLineChars="200" w:firstLine="560"/>
        <w:jc w:val="left"/>
        <w:rPr>
          <w:sz w:val="28"/>
          <w:szCs w:val="28"/>
        </w:rPr>
      </w:pPr>
      <w:r>
        <w:rPr>
          <w:rFonts w:ascii="仿宋" w:eastAsia="仿宋" w:hAnsi="仿宋" w:cs="仿宋" w:hint="eastAsia"/>
          <w:kern w:val="0"/>
          <w:sz w:val="28"/>
          <w:szCs w:val="28"/>
          <w:lang w:bidi="ar"/>
        </w:rPr>
        <w:t>天津</w:t>
      </w:r>
      <w:r w:rsidR="00335DAF">
        <w:rPr>
          <w:rFonts w:ascii="仿宋" w:eastAsia="仿宋" w:hAnsi="仿宋" w:cs="仿宋" w:hint="eastAsia"/>
          <w:kern w:val="0"/>
          <w:sz w:val="28"/>
          <w:szCs w:val="28"/>
          <w:lang w:bidi="ar"/>
        </w:rPr>
        <w:t>正道机械制造</w:t>
      </w:r>
      <w:r>
        <w:rPr>
          <w:rFonts w:ascii="仿宋" w:eastAsia="仿宋" w:hAnsi="仿宋" w:cs="仿宋" w:hint="eastAsia"/>
          <w:kern w:val="0"/>
          <w:sz w:val="28"/>
          <w:szCs w:val="28"/>
          <w:lang w:bidi="ar"/>
        </w:rPr>
        <w:t>有限公司是以钢带为主要原材料生产汽车零部件的企业，为满足对社会承诺及公示的环境要求，切实履行社会责任、接受社会监督。特对公示相关产品的碳足迹排放情况进行研究，出具研究报告。研究的目的是以生命周期评价方法为基础，采用《</w:t>
      </w:r>
      <w:r>
        <w:rPr>
          <w:rFonts w:ascii="TimesNewRomanPSMT" w:eastAsia="TimesNewRomanPSMT" w:hAnsi="TimesNewRomanPSMT" w:cs="TimesNewRomanPSMT"/>
          <w:kern w:val="0"/>
          <w:sz w:val="28"/>
          <w:szCs w:val="28"/>
          <w:lang w:bidi="ar"/>
        </w:rPr>
        <w:t>ISO/TS 14067-2013</w:t>
      </w:r>
      <w:r>
        <w:rPr>
          <w:rFonts w:ascii="仿宋" w:eastAsia="仿宋" w:hAnsi="仿宋" w:cs="仿宋" w:hint="eastAsia"/>
          <w:kern w:val="0"/>
          <w:sz w:val="28"/>
          <w:szCs w:val="28"/>
          <w:lang w:bidi="ar"/>
        </w:rPr>
        <w:t>《温室气体产品的碳排放量量化和通信的要求和指南》、</w:t>
      </w:r>
      <w:r>
        <w:rPr>
          <w:rFonts w:ascii="TimesNewRomanPSMT" w:eastAsia="TimesNewRomanPSMT" w:hAnsi="TimesNewRomanPSMT" w:cs="TimesNewRomanPSMT"/>
          <w:kern w:val="0"/>
          <w:sz w:val="28"/>
          <w:szCs w:val="28"/>
          <w:lang w:bidi="ar"/>
        </w:rPr>
        <w:t>PAS2050:2011</w:t>
      </w:r>
      <w:r>
        <w:rPr>
          <w:rFonts w:ascii="仿宋" w:eastAsia="仿宋" w:hAnsi="仿宋" w:cs="仿宋" w:hint="eastAsia"/>
          <w:kern w:val="0"/>
          <w:sz w:val="28"/>
          <w:szCs w:val="28"/>
          <w:lang w:bidi="ar"/>
        </w:rPr>
        <w:t xml:space="preserve">《商品和服务在生命周期内的温室气体排放评价规范》的要求中规定的碳足迹核算方法，计算得到汽车零部件产品的碳足迹。 </w:t>
      </w:r>
    </w:p>
    <w:p w14:paraId="153C63CB" w14:textId="77777777" w:rsidR="00F10217" w:rsidRDefault="00CA0103">
      <w:pPr>
        <w:widowControl/>
        <w:ind w:firstLineChars="200" w:firstLine="560"/>
        <w:jc w:val="left"/>
        <w:rPr>
          <w:sz w:val="28"/>
          <w:szCs w:val="28"/>
        </w:rPr>
      </w:pPr>
      <w:r>
        <w:rPr>
          <w:rFonts w:ascii="仿宋" w:eastAsia="仿宋" w:hAnsi="仿宋" w:cs="仿宋" w:hint="eastAsia"/>
          <w:kern w:val="0"/>
          <w:sz w:val="28"/>
          <w:szCs w:val="28"/>
          <w:lang w:bidi="ar"/>
        </w:rPr>
        <w:t xml:space="preserve">本报告的功能单位定义为生产 </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汽车零部件</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。调研了从原材料进厂到成品的生产过程，其他物料、能源获取的排放因子数据来源于数据库。</w:t>
      </w:r>
    </w:p>
    <w:p w14:paraId="48CD13F9" w14:textId="77777777" w:rsidR="00F10217" w:rsidRDefault="00CA0103">
      <w:pPr>
        <w:widowControl/>
        <w:ind w:firstLineChars="200" w:firstLine="560"/>
        <w:jc w:val="left"/>
        <w:rPr>
          <w:sz w:val="28"/>
          <w:szCs w:val="28"/>
          <w:highlight w:val="yellow"/>
        </w:rPr>
      </w:pPr>
      <w:r>
        <w:rPr>
          <w:rFonts w:ascii="仿宋" w:eastAsia="仿宋" w:hAnsi="仿宋" w:cs="仿宋"/>
          <w:kern w:val="0"/>
          <w:sz w:val="28"/>
          <w:szCs w:val="28"/>
          <w:lang w:bidi="ar"/>
        </w:rPr>
        <w:t>报告中对生产</w:t>
      </w:r>
      <w:r>
        <w:rPr>
          <w:rFonts w:ascii="仿宋" w:eastAsia="仿宋" w:hAnsi="仿宋" w:cs="仿宋" w:hint="eastAsia"/>
          <w:kern w:val="0"/>
          <w:sz w:val="28"/>
          <w:szCs w:val="28"/>
          <w:lang w:bidi="ar"/>
        </w:rPr>
        <w:t>汽车零部件的不同产品类型过程比例的差别、各生产过程碳足迹比例做了对比分析。从单个过程对碳足迹贡献来看，发现产品生产过程能源消耗量对产品碳足迹的贡献较大。</w:t>
      </w:r>
    </w:p>
    <w:p w14:paraId="7E841E41" w14:textId="77777777" w:rsidR="00F10217" w:rsidRDefault="00CA0103">
      <w:pPr>
        <w:widowControl/>
        <w:ind w:firstLineChars="200" w:firstLine="560"/>
        <w:jc w:val="left"/>
        <w:rPr>
          <w:sz w:val="28"/>
          <w:szCs w:val="28"/>
        </w:rPr>
      </w:pPr>
      <w:r>
        <w:rPr>
          <w:rFonts w:ascii="仿宋" w:eastAsia="仿宋" w:hAnsi="仿宋" w:cs="仿宋" w:hint="eastAsia"/>
          <w:kern w:val="0"/>
          <w:sz w:val="28"/>
          <w:szCs w:val="28"/>
          <w:lang w:bidi="ar"/>
        </w:rPr>
        <w:t>研究过程中，数据质量被认为是最重要的考虑因素之一。本次数据收集和选择的指导原则是：数据尽可能具有代表性，主要体现在生产技术、地域、时间等方面。汽车零部件生产生命周期主要过程活动数据来源于企业现场调研的初级数据，大部分原材料的排放因子数据来源于</w:t>
      </w:r>
      <w:r>
        <w:rPr>
          <w:rFonts w:ascii="TimesNewRomanPSMT" w:eastAsia="TimesNewRomanPSMT" w:hAnsi="TimesNewRomanPSMT" w:cs="TimesNewRomanPSMT"/>
          <w:kern w:val="0"/>
          <w:sz w:val="28"/>
          <w:szCs w:val="28"/>
          <w:lang w:bidi="ar"/>
        </w:rPr>
        <w:t>IPCC</w:t>
      </w:r>
      <w:r>
        <w:rPr>
          <w:rFonts w:ascii="仿宋" w:eastAsia="仿宋" w:hAnsi="仿宋" w:cs="仿宋" w:hint="eastAsia"/>
          <w:kern w:val="0"/>
          <w:sz w:val="28"/>
          <w:szCs w:val="28"/>
          <w:lang w:bidi="ar"/>
        </w:rPr>
        <w:t>数据库，本次评价选用的数据在国内外</w:t>
      </w:r>
      <w:r>
        <w:rPr>
          <w:rFonts w:ascii="TimesNewRomanPSMT" w:eastAsia="TimesNewRomanPSMT" w:hAnsi="TimesNewRomanPSMT" w:cs="TimesNewRomanPSMT"/>
          <w:kern w:val="0"/>
          <w:sz w:val="28"/>
          <w:szCs w:val="28"/>
          <w:lang w:bidi="ar"/>
        </w:rPr>
        <w:t>LCA</w:t>
      </w:r>
      <w:r>
        <w:rPr>
          <w:rFonts w:ascii="仿宋" w:eastAsia="仿宋" w:hAnsi="仿宋" w:cs="仿宋" w:hint="eastAsia"/>
          <w:kern w:val="0"/>
          <w:sz w:val="28"/>
          <w:szCs w:val="28"/>
          <w:lang w:bidi="ar"/>
        </w:rPr>
        <w:t>研究中被高度认可和广泛应用。</w:t>
      </w:r>
    </w:p>
    <w:p w14:paraId="2D89ABE9" w14:textId="77777777" w:rsidR="00F10217" w:rsidRDefault="00CA0103">
      <w:pPr>
        <w:numPr>
          <w:ilvl w:val="0"/>
          <w:numId w:val="1"/>
        </w:numPr>
        <w:outlineLvl w:val="0"/>
        <w:rPr>
          <w:rFonts w:ascii="仿宋" w:eastAsia="仿宋" w:hAnsi="仿宋" w:cs="仿宋"/>
          <w:b/>
          <w:bCs/>
          <w:sz w:val="28"/>
          <w:szCs w:val="28"/>
        </w:rPr>
      </w:pPr>
      <w:r>
        <w:rPr>
          <w:rFonts w:ascii="仿宋" w:eastAsia="仿宋" w:hAnsi="仿宋" w:cs="仿宋" w:hint="eastAsia"/>
          <w:b/>
          <w:bCs/>
          <w:sz w:val="28"/>
          <w:szCs w:val="28"/>
        </w:rPr>
        <w:t>产品碳足迹介绍</w:t>
      </w:r>
    </w:p>
    <w:p w14:paraId="1594CCB5" w14:textId="77777777" w:rsidR="00F10217" w:rsidRDefault="00CA0103">
      <w:pPr>
        <w:widowControl/>
        <w:ind w:firstLineChars="200" w:firstLine="560"/>
        <w:rPr>
          <w:sz w:val="28"/>
          <w:szCs w:val="28"/>
        </w:rPr>
      </w:pPr>
      <w:r>
        <w:rPr>
          <w:rFonts w:ascii="仿宋" w:eastAsia="仿宋" w:hAnsi="仿宋" w:cs="仿宋"/>
          <w:kern w:val="0"/>
          <w:sz w:val="28"/>
          <w:szCs w:val="28"/>
          <w:lang w:bidi="ar"/>
        </w:rPr>
        <w:lastRenderedPageBreak/>
        <w:t>近年来，温室效应、气候变化已成为全球关注的焦点，</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碳足迹</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这个新的术语越来越广泛地为全世界所使用。碳足迹通常分为项目层面、组织层面、产品层面这三个层面。产品碳足迹（</w:t>
      </w:r>
      <w:r>
        <w:rPr>
          <w:rFonts w:ascii="TimesNewRomanPSMT" w:eastAsia="TimesNewRomanPSMT" w:hAnsi="TimesNewRomanPSMT" w:cs="TimesNewRomanPSMT"/>
          <w:kern w:val="0"/>
          <w:sz w:val="28"/>
          <w:szCs w:val="28"/>
          <w:lang w:bidi="ar"/>
        </w:rPr>
        <w:t>ProductCarbonFootprint</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PCF</w:t>
      </w:r>
      <w:r>
        <w:rPr>
          <w:rFonts w:ascii="仿宋" w:eastAsia="仿宋" w:hAnsi="仿宋" w:cs="仿宋" w:hint="eastAsia"/>
          <w:kern w:val="0"/>
          <w:sz w:val="28"/>
          <w:szCs w:val="28"/>
          <w:lang w:bidi="ar"/>
        </w:rPr>
        <w:t>）是指衡量某个产品在其生命周期各阶段的温室气体排放量总和，即从原材料采购、产品生产、销售、使用到最终处置</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再生利用等多个阶段的各种温室气体排放的累加。温室气体包括二氧化碳（</w:t>
      </w:r>
      <w:r>
        <w:rPr>
          <w:rFonts w:ascii="TimesNewRomanPSMT" w:eastAsia="TimesNewRomanPSMT" w:hAnsi="TimesNewRomanPSMT" w:cs="TimesNewRomanPSMT"/>
          <w:kern w:val="0"/>
          <w:sz w:val="28"/>
          <w:szCs w:val="28"/>
          <w:lang w:bidi="ar"/>
        </w:rPr>
        <w:t>CO</w:t>
      </w:r>
      <w:r>
        <w:rPr>
          <w:rFonts w:ascii="TimesNewRomanPSMT" w:eastAsia="TimesNewRomanPSMT" w:hAnsi="TimesNewRomanPSMT" w:cs="TimesNewRomanPSMT"/>
          <w:kern w:val="0"/>
          <w:sz w:val="28"/>
          <w:szCs w:val="28"/>
          <w:vertAlign w:val="subscript"/>
          <w:lang w:bidi="ar"/>
        </w:rPr>
        <w:t>2</w:t>
      </w:r>
      <w:r>
        <w:rPr>
          <w:rFonts w:ascii="仿宋" w:eastAsia="仿宋" w:hAnsi="仿宋" w:cs="仿宋" w:hint="eastAsia"/>
          <w:kern w:val="0"/>
          <w:sz w:val="28"/>
          <w:szCs w:val="28"/>
          <w:lang w:bidi="ar"/>
        </w:rPr>
        <w:t>）、甲烷（</w:t>
      </w:r>
      <w:r>
        <w:rPr>
          <w:rFonts w:ascii="TimesNewRomanPSMT" w:eastAsia="TimesNewRomanPSMT" w:hAnsi="TimesNewRomanPSMT" w:cs="TimesNewRomanPSMT"/>
          <w:kern w:val="0"/>
          <w:sz w:val="28"/>
          <w:szCs w:val="28"/>
          <w:lang w:bidi="ar"/>
        </w:rPr>
        <w:t>CH4</w:t>
      </w:r>
      <w:r>
        <w:rPr>
          <w:rFonts w:ascii="仿宋" w:eastAsia="仿宋" w:hAnsi="仿宋" w:cs="仿宋" w:hint="eastAsia"/>
          <w:kern w:val="0"/>
          <w:sz w:val="28"/>
          <w:szCs w:val="28"/>
          <w:lang w:bidi="ar"/>
        </w:rPr>
        <w:t>）、氧化亚氮（</w:t>
      </w:r>
      <w:r>
        <w:rPr>
          <w:rFonts w:ascii="TimesNewRomanPSMT" w:eastAsia="TimesNewRomanPSMT" w:hAnsi="TimesNewRomanPSMT" w:cs="TimesNewRomanPSMT"/>
          <w:kern w:val="0"/>
          <w:sz w:val="28"/>
          <w:szCs w:val="28"/>
          <w:lang w:bidi="ar"/>
        </w:rPr>
        <w:t>N</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O</w:t>
      </w:r>
      <w:r>
        <w:rPr>
          <w:rFonts w:ascii="仿宋" w:eastAsia="仿宋" w:hAnsi="仿宋" w:cs="仿宋" w:hint="eastAsia"/>
          <w:kern w:val="0"/>
          <w:sz w:val="28"/>
          <w:szCs w:val="28"/>
          <w:lang w:bidi="ar"/>
        </w:rPr>
        <w:t>）、氢氟碳化物（</w:t>
      </w:r>
      <w:r>
        <w:rPr>
          <w:rFonts w:ascii="TimesNewRomanPSMT" w:eastAsia="TimesNewRomanPSMT" w:hAnsi="TimesNewRomanPSMT" w:cs="TimesNewRomanPSMT"/>
          <w:kern w:val="0"/>
          <w:sz w:val="28"/>
          <w:szCs w:val="28"/>
          <w:lang w:bidi="ar"/>
        </w:rPr>
        <w:t>HFC</w:t>
      </w:r>
      <w:r>
        <w:rPr>
          <w:rFonts w:ascii="仿宋" w:eastAsia="仿宋" w:hAnsi="仿宋" w:cs="仿宋" w:hint="eastAsia"/>
          <w:kern w:val="0"/>
          <w:sz w:val="28"/>
          <w:szCs w:val="28"/>
          <w:lang w:bidi="ar"/>
        </w:rPr>
        <w:t>）和全氟化碳（</w:t>
      </w:r>
      <w:r>
        <w:rPr>
          <w:rFonts w:ascii="TimesNewRomanPSMT" w:eastAsia="TimesNewRomanPSMT" w:hAnsi="TimesNewRomanPSMT" w:cs="TimesNewRomanPSMT"/>
          <w:kern w:val="0"/>
          <w:sz w:val="28"/>
          <w:szCs w:val="28"/>
          <w:lang w:bidi="ar"/>
        </w:rPr>
        <w:t>PFC</w:t>
      </w:r>
      <w:r>
        <w:rPr>
          <w:rFonts w:ascii="仿宋" w:eastAsia="仿宋" w:hAnsi="仿宋" w:cs="仿宋" w:hint="eastAsia"/>
          <w:kern w:val="0"/>
          <w:sz w:val="28"/>
          <w:szCs w:val="28"/>
          <w:lang w:bidi="ar"/>
        </w:rPr>
        <w:t>）等</w:t>
      </w:r>
      <w:r>
        <w:rPr>
          <w:rFonts w:ascii="TimesNewRomanPSMT" w:eastAsia="TimesNewRomanPSMT" w:hAnsi="TimesNewRomanPSMT" w:cs="TimesNewRomanPSMT"/>
          <w:kern w:val="0"/>
          <w:sz w:val="28"/>
          <w:szCs w:val="28"/>
          <w:lang w:bidi="ar"/>
        </w:rPr>
        <w:t>[1]</w:t>
      </w:r>
      <w:r>
        <w:rPr>
          <w:rFonts w:ascii="仿宋" w:eastAsia="仿宋" w:hAnsi="仿宋" w:cs="仿宋" w:hint="eastAsia"/>
          <w:kern w:val="0"/>
          <w:sz w:val="28"/>
          <w:szCs w:val="28"/>
          <w:lang w:bidi="ar"/>
        </w:rPr>
        <w:t>。碳足迹的计算结果为产品生命周期各种温室气体排放量的加权之和，用二氧化碳当量（</w:t>
      </w:r>
      <w:r>
        <w:rPr>
          <w:rFonts w:ascii="TimesNewRomanPSMT" w:eastAsia="TimesNewRomanPSMT" w:hAnsi="TimesNewRomanPSMT" w:cs="TimesNewRomanPSMT"/>
          <w:kern w:val="0"/>
          <w:sz w:val="28"/>
          <w:szCs w:val="28"/>
          <w:lang w:bidi="ar"/>
        </w:rPr>
        <w:t>CO</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e</w:t>
      </w:r>
      <w:r>
        <w:rPr>
          <w:rFonts w:ascii="仿宋" w:eastAsia="仿宋" w:hAnsi="仿宋" w:cs="仿宋" w:hint="eastAsia"/>
          <w:kern w:val="0"/>
          <w:sz w:val="28"/>
          <w:szCs w:val="28"/>
          <w:lang w:bidi="ar"/>
        </w:rPr>
        <w:t>）表示，单位为</w:t>
      </w:r>
      <w:r>
        <w:rPr>
          <w:rFonts w:ascii="TimesNewRomanPSMT" w:eastAsia="TimesNewRomanPSMT" w:hAnsi="TimesNewRomanPSMT" w:cs="TimesNewRomanPSMT"/>
          <w:kern w:val="0"/>
          <w:sz w:val="28"/>
          <w:szCs w:val="28"/>
          <w:lang w:bidi="ar"/>
        </w:rPr>
        <w:t>kgCO</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 xml:space="preserve">e </w:t>
      </w:r>
      <w:r>
        <w:rPr>
          <w:rFonts w:ascii="仿宋" w:eastAsia="仿宋" w:hAnsi="仿宋" w:cs="仿宋" w:hint="eastAsia"/>
          <w:kern w:val="0"/>
          <w:sz w:val="28"/>
          <w:szCs w:val="28"/>
          <w:lang w:bidi="ar"/>
        </w:rPr>
        <w:t xml:space="preserve">或者 </w:t>
      </w:r>
      <w:r>
        <w:rPr>
          <w:rFonts w:ascii="TimesNewRomanPSMT" w:eastAsia="TimesNewRomanPSMT" w:hAnsi="TimesNewRomanPSMT" w:cs="TimesNewRomanPSMT"/>
          <w:kern w:val="0"/>
          <w:sz w:val="28"/>
          <w:szCs w:val="28"/>
          <w:lang w:bidi="ar"/>
        </w:rPr>
        <w:t>g CO</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e</w:t>
      </w:r>
      <w:r>
        <w:rPr>
          <w:rFonts w:ascii="仿宋" w:eastAsia="仿宋" w:hAnsi="仿宋" w:cs="仿宋" w:hint="eastAsia"/>
          <w:kern w:val="0"/>
          <w:sz w:val="28"/>
          <w:szCs w:val="28"/>
          <w:lang w:bidi="ar"/>
        </w:rPr>
        <w:t>。全球变暖潜值（</w:t>
      </w:r>
      <w:r>
        <w:rPr>
          <w:rFonts w:ascii="TimesNewRomanPSMT" w:eastAsia="TimesNewRomanPSMT" w:hAnsi="TimesNewRomanPSMT" w:cs="TimesNewRomanPSMT"/>
          <w:kern w:val="0"/>
          <w:sz w:val="28"/>
          <w:szCs w:val="28"/>
          <w:lang w:bidi="ar"/>
        </w:rPr>
        <w:t>Gobal Warming Potential</w:t>
      </w:r>
      <w:r>
        <w:rPr>
          <w:rFonts w:ascii="仿宋" w:eastAsia="仿宋" w:hAnsi="仿宋" w:cs="仿宋" w:hint="eastAsia"/>
          <w:kern w:val="0"/>
          <w:sz w:val="28"/>
          <w:szCs w:val="28"/>
          <w:lang w:bidi="ar"/>
        </w:rPr>
        <w:t>，简称</w:t>
      </w:r>
      <w:r>
        <w:rPr>
          <w:rFonts w:ascii="TimesNewRomanPSMT" w:eastAsia="TimesNewRomanPSMT" w:hAnsi="TimesNewRomanPSMT" w:cs="TimesNewRomanPSMT"/>
          <w:kern w:val="0"/>
          <w:sz w:val="28"/>
          <w:szCs w:val="28"/>
          <w:lang w:bidi="ar"/>
        </w:rPr>
        <w:t>GWP</w:t>
      </w:r>
      <w:r>
        <w:rPr>
          <w:rFonts w:ascii="仿宋" w:eastAsia="仿宋" w:hAnsi="仿宋" w:cs="仿宋" w:hint="eastAsia"/>
          <w:kern w:val="0"/>
          <w:sz w:val="28"/>
          <w:szCs w:val="28"/>
          <w:lang w:bidi="ar"/>
        </w:rPr>
        <w:t>），即各种温室气体的二氧化碳当量值，通常采用联合国政府间气候变化专家委员会（</w:t>
      </w:r>
      <w:r>
        <w:rPr>
          <w:rFonts w:ascii="TimesNewRomanPSMT" w:eastAsia="TimesNewRomanPSMT" w:hAnsi="TimesNewRomanPSMT" w:cs="TimesNewRomanPSMT"/>
          <w:kern w:val="0"/>
          <w:sz w:val="28"/>
          <w:szCs w:val="28"/>
          <w:lang w:bidi="ar"/>
        </w:rPr>
        <w:t>IPCC</w:t>
      </w:r>
      <w:r>
        <w:rPr>
          <w:rFonts w:ascii="仿宋" w:eastAsia="仿宋" w:hAnsi="仿宋" w:cs="仿宋" w:hint="eastAsia"/>
          <w:kern w:val="0"/>
          <w:sz w:val="28"/>
          <w:szCs w:val="28"/>
          <w:lang w:bidi="ar"/>
        </w:rPr>
        <w:t>）提供的值</w:t>
      </w:r>
      <w:r>
        <w:rPr>
          <w:rFonts w:ascii="TimesNewRomanPSMT" w:eastAsia="TimesNewRomanPSMT" w:hAnsi="TimesNewRomanPSMT" w:cs="TimesNewRomanPSMT"/>
          <w:kern w:val="0"/>
          <w:sz w:val="28"/>
          <w:szCs w:val="28"/>
          <w:lang w:bidi="ar"/>
        </w:rPr>
        <w:t>[2]</w:t>
      </w:r>
      <w:r>
        <w:rPr>
          <w:rFonts w:ascii="仿宋" w:eastAsia="仿宋" w:hAnsi="仿宋" w:cs="仿宋" w:hint="eastAsia"/>
          <w:kern w:val="0"/>
          <w:sz w:val="28"/>
          <w:szCs w:val="28"/>
          <w:lang w:bidi="ar"/>
        </w:rPr>
        <w:t xml:space="preserve">，目前这套因子被全球范围广泛适用。 </w:t>
      </w:r>
    </w:p>
    <w:p w14:paraId="087E050A" w14:textId="77777777" w:rsidR="00F10217" w:rsidRDefault="00CA0103">
      <w:pPr>
        <w:widowControl/>
        <w:ind w:firstLineChars="200" w:firstLine="560"/>
        <w:rPr>
          <w:sz w:val="28"/>
          <w:szCs w:val="28"/>
        </w:rPr>
      </w:pPr>
      <w:r>
        <w:rPr>
          <w:rFonts w:ascii="仿宋" w:eastAsia="仿宋" w:hAnsi="仿宋" w:cs="仿宋" w:hint="eastAsia"/>
          <w:kern w:val="0"/>
          <w:sz w:val="28"/>
          <w:szCs w:val="28"/>
          <w:lang w:bidi="ar"/>
        </w:rPr>
        <w:t>产品碳足迹计算只包含一个完整生命周期评估（</w:t>
      </w:r>
      <w:r>
        <w:rPr>
          <w:rFonts w:ascii="TimesNewRomanPSMT" w:eastAsia="TimesNewRomanPSMT" w:hAnsi="TimesNewRomanPSMT" w:cs="TimesNewRomanPSMT"/>
          <w:kern w:val="0"/>
          <w:sz w:val="28"/>
          <w:szCs w:val="28"/>
          <w:lang w:bidi="ar"/>
        </w:rPr>
        <w:t>LCA</w:t>
      </w:r>
      <w:r>
        <w:rPr>
          <w:rFonts w:ascii="仿宋" w:eastAsia="仿宋" w:hAnsi="仿宋" w:cs="仿宋" w:hint="eastAsia"/>
          <w:kern w:val="0"/>
          <w:sz w:val="28"/>
          <w:szCs w:val="28"/>
          <w:lang w:bidi="ar"/>
        </w:rPr>
        <w:t>）的温室气体的部分</w:t>
      </w:r>
      <w:r>
        <w:rPr>
          <w:rFonts w:ascii="TimesNewRomanPSMT" w:eastAsia="TimesNewRomanPSMT" w:hAnsi="TimesNewRomanPSMT" w:cs="TimesNewRomanPSMT"/>
          <w:kern w:val="0"/>
          <w:sz w:val="28"/>
          <w:szCs w:val="28"/>
          <w:lang w:bidi="ar"/>
        </w:rPr>
        <w:t>[3]</w:t>
      </w:r>
      <w:r>
        <w:rPr>
          <w:rFonts w:ascii="仿宋" w:eastAsia="仿宋" w:hAnsi="仿宋" w:cs="仿宋" w:hint="eastAsia"/>
          <w:kern w:val="0"/>
          <w:sz w:val="28"/>
          <w:szCs w:val="28"/>
          <w:lang w:bidi="ar"/>
        </w:rPr>
        <w:t xml:space="preserve">。基于 </w:t>
      </w:r>
      <w:r>
        <w:rPr>
          <w:rFonts w:ascii="TimesNewRomanPSMT" w:eastAsia="TimesNewRomanPSMT" w:hAnsi="TimesNewRomanPSMT" w:cs="TimesNewRomanPSMT"/>
          <w:kern w:val="0"/>
          <w:sz w:val="28"/>
          <w:szCs w:val="28"/>
          <w:lang w:bidi="ar"/>
        </w:rPr>
        <w:t xml:space="preserve">LCA </w:t>
      </w:r>
      <w:r>
        <w:rPr>
          <w:rFonts w:ascii="仿宋" w:eastAsia="仿宋" w:hAnsi="仿宋" w:cs="仿宋" w:hint="eastAsia"/>
          <w:kern w:val="0"/>
          <w:sz w:val="28"/>
          <w:szCs w:val="28"/>
          <w:lang w:bidi="ar"/>
        </w:rPr>
        <w:t>的评价方法，国际上已建立起多种碳足迹评估指南和要求，用于产品碳足迹认证，目前广泛使用的碳足迹评估标准有三种：</w:t>
      </w:r>
      <w:r>
        <w:rPr>
          <w:rFonts w:ascii="宋体" w:eastAsia="宋体" w:hAnsi="宋体" w:cs="宋体" w:hint="eastAsia"/>
          <w:kern w:val="0"/>
          <w:sz w:val="28"/>
          <w:szCs w:val="28"/>
          <w:lang w:bidi="ar"/>
        </w:rPr>
        <w:t>①</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PAS2050</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 xml:space="preserve">2011 </w:t>
      </w:r>
      <w:r>
        <w:rPr>
          <w:rFonts w:ascii="仿宋" w:eastAsia="仿宋" w:hAnsi="仿宋" w:cs="仿宋" w:hint="eastAsia"/>
          <w:kern w:val="0"/>
          <w:sz w:val="28"/>
          <w:szCs w:val="28"/>
          <w:lang w:bidi="ar"/>
        </w:rPr>
        <w:t>商品和服务在生命周期内的温室气体排放评价规范》，此标准是由英国标准协会（</w:t>
      </w:r>
      <w:r>
        <w:rPr>
          <w:rFonts w:ascii="TimesNewRomanPSMT" w:eastAsia="TimesNewRomanPSMT" w:hAnsi="TimesNewRomanPSMT" w:cs="TimesNewRomanPSMT"/>
          <w:kern w:val="0"/>
          <w:sz w:val="28"/>
          <w:szCs w:val="28"/>
          <w:lang w:bidi="ar"/>
        </w:rPr>
        <w:t>BSI</w:t>
      </w:r>
      <w:r>
        <w:rPr>
          <w:rFonts w:ascii="仿宋" w:eastAsia="仿宋" w:hAnsi="仿宋" w:cs="仿宋" w:hint="eastAsia"/>
          <w:kern w:val="0"/>
          <w:sz w:val="28"/>
          <w:szCs w:val="28"/>
          <w:lang w:bidi="ar"/>
        </w:rPr>
        <w:t>）与碳信托公司</w:t>
      </w:r>
      <w:r>
        <w:rPr>
          <w:rFonts w:ascii="Calibri" w:eastAsia="宋体" w:hAnsi="Calibri" w:cs="Calibri"/>
          <w:kern w:val="0"/>
          <w:sz w:val="28"/>
          <w:szCs w:val="28"/>
          <w:lang w:bidi="ar"/>
        </w:rPr>
        <w:t>2</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Carbon Trust</w:t>
      </w:r>
      <w:r>
        <w:rPr>
          <w:rFonts w:ascii="仿宋" w:eastAsia="仿宋" w:hAnsi="仿宋" w:cs="仿宋" w:hint="eastAsia"/>
          <w:kern w:val="0"/>
          <w:sz w:val="28"/>
          <w:szCs w:val="28"/>
          <w:lang w:bidi="ar"/>
        </w:rPr>
        <w:t>）、英国食品和乡村事务部（</w:t>
      </w:r>
      <w:r>
        <w:rPr>
          <w:rFonts w:ascii="TimesNewRomanPSMT" w:eastAsia="TimesNewRomanPSMT" w:hAnsi="TimesNewRomanPSMT" w:cs="TimesNewRomanPSMT"/>
          <w:kern w:val="0"/>
          <w:sz w:val="28"/>
          <w:szCs w:val="28"/>
          <w:lang w:bidi="ar"/>
        </w:rPr>
        <w:t>Defra</w:t>
      </w:r>
      <w:r>
        <w:rPr>
          <w:rFonts w:ascii="仿宋" w:eastAsia="仿宋" w:hAnsi="仿宋" w:cs="仿宋" w:hint="eastAsia"/>
          <w:kern w:val="0"/>
          <w:sz w:val="28"/>
          <w:szCs w:val="28"/>
          <w:lang w:bidi="ar"/>
        </w:rPr>
        <w:t>）联合发布，是国际上最早的、具有具体计算方法的标准，也是目前使用较多的产品碳足迹评价标准</w:t>
      </w:r>
      <w:r>
        <w:rPr>
          <w:rFonts w:ascii="TimesNewRomanPSMT" w:eastAsia="TimesNewRomanPSMT" w:hAnsi="TimesNewRomanPSMT" w:cs="TimesNewRomanPSMT"/>
          <w:kern w:val="0"/>
          <w:sz w:val="28"/>
          <w:szCs w:val="28"/>
          <w:lang w:bidi="ar"/>
        </w:rPr>
        <w:t>[4]</w:t>
      </w:r>
      <w:r>
        <w:rPr>
          <w:rFonts w:ascii="仿宋" w:eastAsia="仿宋" w:hAnsi="仿宋" w:cs="仿宋" w:hint="eastAsia"/>
          <w:kern w:val="0"/>
          <w:sz w:val="28"/>
          <w:szCs w:val="28"/>
          <w:lang w:bidi="ar"/>
        </w:rPr>
        <w:t>；</w:t>
      </w:r>
      <w:r>
        <w:rPr>
          <w:rFonts w:ascii="宋体" w:eastAsia="宋体" w:hAnsi="宋体" w:cs="宋体" w:hint="eastAsia"/>
          <w:kern w:val="0"/>
          <w:sz w:val="28"/>
          <w:szCs w:val="28"/>
          <w:lang w:bidi="ar"/>
        </w:rPr>
        <w:t>②</w:t>
      </w:r>
      <w:r>
        <w:rPr>
          <w:rFonts w:ascii="仿宋" w:eastAsia="仿宋" w:hAnsi="仿宋" w:cs="仿宋" w:hint="eastAsia"/>
          <w:kern w:val="0"/>
          <w:sz w:val="28"/>
          <w:szCs w:val="28"/>
          <w:lang w:bidi="ar"/>
        </w:rPr>
        <w:t>《温室气体核算体系：产品寿命周期核算与报告标准》，此标准是由世界资源研究所</w:t>
      </w:r>
      <w:r>
        <w:rPr>
          <w:rFonts w:ascii="TimesNewRomanPSMT" w:eastAsia="TimesNewRomanPSMT" w:hAnsi="TimesNewRomanPSMT" w:cs="TimesNewRomanPSMT"/>
          <w:kern w:val="0"/>
          <w:sz w:val="28"/>
          <w:szCs w:val="28"/>
          <w:lang w:bidi="ar"/>
        </w:rPr>
        <w:t>(World Resources Institute</w:t>
      </w:r>
      <w:r>
        <w:rPr>
          <w:rFonts w:ascii="仿宋" w:eastAsia="仿宋" w:hAnsi="仿宋" w:cs="仿宋" w:hint="eastAsia"/>
          <w:kern w:val="0"/>
          <w:sz w:val="28"/>
          <w:szCs w:val="28"/>
          <w:lang w:bidi="ar"/>
        </w:rPr>
        <w:t xml:space="preserve">，简称 </w:t>
      </w:r>
      <w:r>
        <w:rPr>
          <w:rFonts w:ascii="TimesNewRomanPSMT" w:eastAsia="TimesNewRomanPSMT" w:hAnsi="TimesNewRomanPSMT" w:cs="TimesNewRomanPSMT"/>
          <w:kern w:val="0"/>
          <w:sz w:val="28"/>
          <w:szCs w:val="28"/>
          <w:lang w:bidi="ar"/>
        </w:rPr>
        <w:lastRenderedPageBreak/>
        <w:t>WRI)</w:t>
      </w:r>
      <w:r>
        <w:rPr>
          <w:rFonts w:ascii="仿宋" w:eastAsia="仿宋" w:hAnsi="仿宋" w:cs="仿宋" w:hint="eastAsia"/>
          <w:kern w:val="0"/>
          <w:sz w:val="28"/>
          <w:szCs w:val="28"/>
          <w:lang w:bidi="ar"/>
        </w:rPr>
        <w:t>和世界可持续发展工商理事会</w:t>
      </w:r>
      <w:r>
        <w:rPr>
          <w:rFonts w:ascii="TimesNewRomanPSMT" w:eastAsia="TimesNewRomanPSMT" w:hAnsi="TimesNewRomanPSMT" w:cs="TimesNewRomanPSMT"/>
          <w:kern w:val="0"/>
          <w:sz w:val="28"/>
          <w:szCs w:val="28"/>
          <w:lang w:bidi="ar"/>
        </w:rPr>
        <w:t>(World Business Council for SustainableDevelopment</w:t>
      </w:r>
      <w:r>
        <w:rPr>
          <w:rFonts w:ascii="仿宋" w:eastAsia="仿宋" w:hAnsi="仿宋" w:cs="仿宋" w:hint="eastAsia"/>
          <w:kern w:val="0"/>
          <w:sz w:val="28"/>
          <w:szCs w:val="28"/>
          <w:lang w:bidi="ar"/>
        </w:rPr>
        <w:t xml:space="preserve">，简称 </w:t>
      </w:r>
      <w:r>
        <w:rPr>
          <w:rFonts w:ascii="TimesNewRomanPSMT" w:eastAsia="TimesNewRomanPSMT" w:hAnsi="TimesNewRomanPSMT" w:cs="TimesNewRomanPSMT"/>
          <w:kern w:val="0"/>
          <w:sz w:val="28"/>
          <w:szCs w:val="28"/>
          <w:lang w:bidi="ar"/>
        </w:rPr>
        <w:t>WBCSD)</w:t>
      </w:r>
      <w:r>
        <w:rPr>
          <w:rFonts w:ascii="仿宋" w:eastAsia="仿宋" w:hAnsi="仿宋" w:cs="仿宋" w:hint="eastAsia"/>
          <w:kern w:val="0"/>
          <w:sz w:val="28"/>
          <w:szCs w:val="28"/>
          <w:lang w:bidi="ar"/>
        </w:rPr>
        <w:t>发布的产品和供应链标准；</w:t>
      </w:r>
      <w:r>
        <w:rPr>
          <w:rFonts w:ascii="宋体" w:eastAsia="宋体" w:hAnsi="宋体" w:cs="宋体" w:hint="eastAsia"/>
          <w:kern w:val="0"/>
          <w:sz w:val="28"/>
          <w:szCs w:val="28"/>
          <w:lang w:bidi="ar"/>
        </w:rPr>
        <w:t>③</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ISO/TS14067</w:t>
      </w:r>
      <w:r>
        <w:rPr>
          <w:rFonts w:ascii="仿宋" w:eastAsia="仿宋" w:hAnsi="仿宋" w:cs="仿宋" w:hint="eastAsia"/>
          <w:kern w:val="0"/>
          <w:sz w:val="28"/>
          <w:szCs w:val="28"/>
          <w:lang w:bidi="ar"/>
        </w:rPr>
        <w:t>：</w:t>
      </w:r>
      <w:r>
        <w:rPr>
          <w:rFonts w:ascii="TimesNewRomanPSMT" w:eastAsia="TimesNewRomanPSMT" w:hAnsi="TimesNewRomanPSMT" w:cs="TimesNewRomanPSMT"/>
          <w:kern w:val="0"/>
          <w:sz w:val="28"/>
          <w:szCs w:val="28"/>
          <w:lang w:bidi="ar"/>
        </w:rPr>
        <w:t xml:space="preserve">2013 </w:t>
      </w:r>
      <w:r>
        <w:rPr>
          <w:rFonts w:ascii="仿宋" w:eastAsia="仿宋" w:hAnsi="仿宋" w:cs="仿宋" w:hint="eastAsia"/>
          <w:kern w:val="0"/>
          <w:sz w:val="28"/>
          <w:szCs w:val="28"/>
          <w:lang w:bidi="ar"/>
        </w:rPr>
        <w:t>温室气体</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产品碳足迹</w:t>
      </w:r>
      <w:r>
        <w:rPr>
          <w:rFonts w:ascii="TimesNewRomanPSMT" w:eastAsia="TimesNewRomanPSMT" w:hAnsi="TimesNewRomanPSMT" w:cs="TimesNewRomanPSMT"/>
          <w:kern w:val="0"/>
          <w:sz w:val="28"/>
          <w:szCs w:val="28"/>
          <w:lang w:bidi="ar"/>
        </w:rPr>
        <w:t>——</w:t>
      </w:r>
      <w:r>
        <w:rPr>
          <w:rFonts w:ascii="仿宋" w:eastAsia="仿宋" w:hAnsi="仿宋" w:cs="仿宋" w:hint="eastAsia"/>
          <w:kern w:val="0"/>
          <w:sz w:val="28"/>
          <w:szCs w:val="28"/>
          <w:lang w:bidi="ar"/>
        </w:rPr>
        <w:t xml:space="preserve">量化和信息交流的要求与指南》，此标准以 </w:t>
      </w:r>
      <w:r>
        <w:rPr>
          <w:rFonts w:ascii="TimesNewRomanPSMT" w:eastAsia="TimesNewRomanPSMT" w:hAnsi="TimesNewRomanPSMT" w:cs="TimesNewRomanPSMT"/>
          <w:kern w:val="0"/>
          <w:sz w:val="28"/>
          <w:szCs w:val="28"/>
          <w:lang w:bidi="ar"/>
        </w:rPr>
        <w:t xml:space="preserve">PAS 2050 </w:t>
      </w:r>
      <w:r>
        <w:rPr>
          <w:rFonts w:ascii="仿宋" w:eastAsia="仿宋" w:hAnsi="仿宋" w:cs="仿宋" w:hint="eastAsia"/>
          <w:kern w:val="0"/>
          <w:sz w:val="28"/>
          <w:szCs w:val="28"/>
          <w:lang w:bidi="ar"/>
        </w:rPr>
        <w:t>为种子文件，由国际标准化组织（</w:t>
      </w:r>
      <w:r>
        <w:rPr>
          <w:rFonts w:ascii="TimesNewRomanPSMT" w:eastAsia="TimesNewRomanPSMT" w:hAnsi="TimesNewRomanPSMT" w:cs="TimesNewRomanPSMT"/>
          <w:kern w:val="0"/>
          <w:sz w:val="28"/>
          <w:szCs w:val="28"/>
          <w:lang w:bidi="ar"/>
        </w:rPr>
        <w:t>ISO</w:t>
      </w:r>
      <w:r>
        <w:rPr>
          <w:rFonts w:ascii="仿宋" w:eastAsia="仿宋" w:hAnsi="仿宋" w:cs="仿宋" w:hint="eastAsia"/>
          <w:kern w:val="0"/>
          <w:sz w:val="28"/>
          <w:szCs w:val="28"/>
          <w:lang w:bidi="ar"/>
        </w:rPr>
        <w:t>）编制发布</w:t>
      </w:r>
      <w:r>
        <w:rPr>
          <w:rFonts w:ascii="TimesNewRomanPSMT" w:eastAsia="TimesNewRomanPSMT" w:hAnsi="TimesNewRomanPSMT" w:cs="TimesNewRomanPSMT"/>
          <w:kern w:val="0"/>
          <w:sz w:val="28"/>
          <w:szCs w:val="28"/>
          <w:lang w:bidi="ar"/>
        </w:rPr>
        <w:t>[5]</w:t>
      </w:r>
      <w:r>
        <w:rPr>
          <w:rFonts w:ascii="仿宋" w:eastAsia="仿宋" w:hAnsi="仿宋" w:cs="仿宋" w:hint="eastAsia"/>
          <w:kern w:val="0"/>
          <w:sz w:val="28"/>
          <w:szCs w:val="28"/>
          <w:lang w:bidi="ar"/>
        </w:rPr>
        <w:t>。产品碳足迹核算标准的出现目的是建立一个一致的、国际间认可的评估产品碳足迹的方法。</w:t>
      </w:r>
    </w:p>
    <w:p w14:paraId="6593F678" w14:textId="77777777" w:rsidR="00F10217" w:rsidRDefault="00CA0103">
      <w:pPr>
        <w:numPr>
          <w:ilvl w:val="0"/>
          <w:numId w:val="1"/>
        </w:numPr>
        <w:outlineLvl w:val="0"/>
        <w:rPr>
          <w:rFonts w:ascii="仿宋" w:eastAsia="仿宋" w:hAnsi="仿宋" w:cs="仿宋"/>
          <w:b/>
          <w:bCs/>
          <w:sz w:val="28"/>
          <w:szCs w:val="28"/>
        </w:rPr>
      </w:pPr>
      <w:r>
        <w:rPr>
          <w:rFonts w:ascii="仿宋" w:eastAsia="仿宋" w:hAnsi="仿宋" w:cs="仿宋" w:hint="eastAsia"/>
          <w:b/>
          <w:bCs/>
          <w:sz w:val="28"/>
          <w:szCs w:val="28"/>
        </w:rPr>
        <w:t>目标与范围定义</w:t>
      </w:r>
    </w:p>
    <w:p w14:paraId="78634F61" w14:textId="2430E507" w:rsidR="00F10217" w:rsidRDefault="00CA0103">
      <w:pPr>
        <w:widowControl/>
        <w:jc w:val="left"/>
        <w:outlineLvl w:val="1"/>
        <w:rPr>
          <w:rFonts w:ascii="仿宋" w:eastAsia="仿宋" w:hAnsi="仿宋" w:cs="仿宋"/>
          <w:b/>
          <w:kern w:val="0"/>
          <w:sz w:val="28"/>
          <w:szCs w:val="28"/>
          <w:lang w:bidi="ar"/>
        </w:rPr>
      </w:pPr>
      <w:r>
        <w:rPr>
          <w:rFonts w:ascii="仿宋" w:eastAsia="仿宋" w:hAnsi="仿宋" w:cs="仿宋" w:hint="eastAsia"/>
          <w:b/>
          <w:kern w:val="0"/>
          <w:sz w:val="28"/>
          <w:szCs w:val="28"/>
          <w:lang w:bidi="ar"/>
        </w:rPr>
        <w:t>3.1天津</w:t>
      </w:r>
      <w:r w:rsidR="00335DAF">
        <w:rPr>
          <w:rFonts w:ascii="仿宋" w:eastAsia="仿宋" w:hAnsi="仿宋" w:cs="仿宋" w:hint="eastAsia"/>
          <w:b/>
          <w:kern w:val="0"/>
          <w:sz w:val="28"/>
          <w:szCs w:val="28"/>
          <w:lang w:bidi="ar"/>
        </w:rPr>
        <w:t>正道机械制造</w:t>
      </w:r>
      <w:r>
        <w:rPr>
          <w:rFonts w:ascii="仿宋" w:eastAsia="仿宋" w:hAnsi="仿宋" w:cs="仿宋" w:hint="eastAsia"/>
          <w:b/>
          <w:kern w:val="0"/>
          <w:sz w:val="28"/>
          <w:szCs w:val="28"/>
          <w:lang w:bidi="ar"/>
        </w:rPr>
        <w:t>有限公司及其产品介绍</w:t>
      </w:r>
    </w:p>
    <w:p w14:paraId="18639557" w14:textId="52A469FF" w:rsidR="00127FDC" w:rsidRPr="00CA0103" w:rsidRDefault="00127FDC" w:rsidP="00127FDC">
      <w:pPr>
        <w:spacing w:line="360" w:lineRule="auto"/>
        <w:ind w:firstLineChars="200" w:firstLine="560"/>
        <w:rPr>
          <w:rFonts w:ascii="仿宋" w:eastAsia="仿宋" w:hAnsi="仿宋" w:cs="仿宋"/>
          <w:kern w:val="0"/>
          <w:sz w:val="28"/>
          <w:szCs w:val="28"/>
          <w:lang w:bidi="ar"/>
        </w:rPr>
      </w:pPr>
      <w:r w:rsidRPr="00CA0103">
        <w:rPr>
          <w:rFonts w:ascii="仿宋" w:eastAsia="仿宋" w:hAnsi="仿宋" w:cs="仿宋" w:hint="eastAsia"/>
          <w:kern w:val="0"/>
          <w:sz w:val="28"/>
          <w:szCs w:val="28"/>
          <w:lang w:bidi="ar"/>
        </w:rPr>
        <w:t>天津正道机械制造有限公司，位于天津市津南区双港工业园内慧科路5号，用地面积为9786.1平方米、总建筑面积7402.56平方米。具有标准化生产车间4511平米，配备了全自动机械压力机冲压线及总成装焊车间，全自动废料收集传输带、节省人力物力、致力于为汽车制造企业提供高标准的冲压成型等工艺零部件的加工配送服务。</w:t>
      </w:r>
    </w:p>
    <w:p w14:paraId="3F64EFD7" w14:textId="77777777" w:rsidR="00127FDC" w:rsidRPr="00CA0103" w:rsidRDefault="00127FDC" w:rsidP="00127FDC">
      <w:pPr>
        <w:spacing w:line="360" w:lineRule="auto"/>
        <w:ind w:firstLineChars="200" w:firstLine="560"/>
        <w:rPr>
          <w:rFonts w:ascii="仿宋" w:eastAsia="仿宋" w:hAnsi="仿宋" w:cs="仿宋"/>
          <w:kern w:val="0"/>
          <w:sz w:val="28"/>
          <w:szCs w:val="28"/>
          <w:lang w:bidi="ar"/>
        </w:rPr>
      </w:pPr>
      <w:r w:rsidRPr="00CA0103">
        <w:rPr>
          <w:rFonts w:ascii="仿宋" w:eastAsia="仿宋" w:hAnsi="仿宋" w:cs="仿宋" w:hint="eastAsia"/>
          <w:kern w:val="0"/>
          <w:sz w:val="28"/>
          <w:szCs w:val="28"/>
          <w:lang w:bidi="ar"/>
        </w:rPr>
        <w:t>公司于2016年取得ISO/TS16949:2016认证，2017年9月取得天津市级高新技术企业证书，2018年11月取得国家级高新技术企业证书。公司各条产线配备相应的工业机器人及其他自动化辅助生产设备，严格按IATF16949质量体系标准运营管理，以全景天窗、顶盖加强板、地板纵梁、汽车门板为主要产品，产品质量达到国际标准。目前公司与国内多家汽车企业保持长期合作关系，主要客户有一汽大众、长城汽车、一汽丰田等。</w:t>
      </w:r>
    </w:p>
    <w:p w14:paraId="1E51DEA7" w14:textId="77777777" w:rsidR="00127FDC" w:rsidRPr="00CA0103" w:rsidRDefault="00127FDC" w:rsidP="00127FDC">
      <w:pPr>
        <w:pStyle w:val="aa"/>
        <w:spacing w:after="0" w:line="360" w:lineRule="auto"/>
        <w:ind w:firstLineChars="200" w:firstLine="560"/>
        <w:rPr>
          <w:rFonts w:ascii="仿宋" w:eastAsia="仿宋" w:hAnsi="仿宋" w:cs="仿宋"/>
          <w:sz w:val="28"/>
          <w:szCs w:val="28"/>
          <w:lang w:val="en-US" w:bidi="ar"/>
        </w:rPr>
      </w:pPr>
      <w:r w:rsidRPr="00CA0103">
        <w:rPr>
          <w:rFonts w:ascii="仿宋" w:eastAsia="仿宋" w:hAnsi="仿宋" w:cs="仿宋" w:hint="eastAsia"/>
          <w:sz w:val="28"/>
          <w:szCs w:val="28"/>
          <w:lang w:val="en-US" w:bidi="ar"/>
        </w:rPr>
        <w:t>公司团队朝气蓬勃敢于创新，在汽车零部件加工技术上和资材研究上不断尝试和探索，一方面与多方研发机构保持密切交流，一</w:t>
      </w:r>
      <w:r w:rsidRPr="00CA0103">
        <w:rPr>
          <w:rFonts w:ascii="仿宋" w:eastAsia="仿宋" w:hAnsi="仿宋" w:cs="仿宋" w:hint="eastAsia"/>
          <w:sz w:val="28"/>
          <w:szCs w:val="28"/>
          <w:lang w:val="en-US" w:bidi="ar"/>
        </w:rPr>
        <w:lastRenderedPageBreak/>
        <w:t>方面充分了解客户需求，作为用户与研发机构的沟通桥梁和实验堡垒，多方发力密切配合，针对性制定研发方案努力实现产品技术升级和节能增效。目前公司和长城汽车、一汽大众、北汽等客户开展的激光拼焊技术合作开发项目落地开花，获得用户青睐。</w:t>
      </w:r>
    </w:p>
    <w:p w14:paraId="45D77473" w14:textId="77777777" w:rsidR="00127FDC" w:rsidRPr="00CA0103" w:rsidRDefault="00127FDC" w:rsidP="00127FDC">
      <w:pPr>
        <w:pStyle w:val="aa"/>
        <w:spacing w:after="0" w:line="360" w:lineRule="auto"/>
        <w:ind w:firstLineChars="200" w:firstLine="560"/>
        <w:rPr>
          <w:rFonts w:ascii="仿宋" w:eastAsia="仿宋" w:hAnsi="仿宋" w:cs="仿宋"/>
          <w:sz w:val="28"/>
          <w:szCs w:val="28"/>
          <w:lang w:val="en-US" w:bidi="ar"/>
        </w:rPr>
      </w:pPr>
      <w:r w:rsidRPr="00CA0103">
        <w:rPr>
          <w:rFonts w:ascii="仿宋" w:eastAsia="仿宋" w:hAnsi="仿宋" w:cs="仿宋" w:hint="eastAsia"/>
          <w:sz w:val="28"/>
          <w:szCs w:val="28"/>
          <w:lang w:val="en-US" w:bidi="ar"/>
        </w:rPr>
        <w:t>未来我公司将继续专注于发展汽车零配件配套升级新型产业，提升创新服务能力，打造自身品牌效应，以用户需求为导向，为用户进行贴身服务，以服务创造价值。</w:t>
      </w:r>
    </w:p>
    <w:p w14:paraId="759B3A10" w14:textId="77777777" w:rsidR="00127FDC" w:rsidRPr="00CA0103" w:rsidRDefault="00127FDC" w:rsidP="00127FDC">
      <w:pPr>
        <w:pStyle w:val="a8"/>
        <w:spacing w:line="360" w:lineRule="auto"/>
        <w:ind w:right="255" w:firstLineChars="200" w:firstLine="560"/>
        <w:jc w:val="both"/>
        <w:rPr>
          <w:sz w:val="28"/>
          <w:szCs w:val="28"/>
          <w:lang w:val="en-US" w:bidi="ar"/>
        </w:rPr>
      </w:pPr>
      <w:r w:rsidRPr="00CA0103">
        <w:rPr>
          <w:rFonts w:hint="eastAsia"/>
          <w:sz w:val="28"/>
          <w:szCs w:val="28"/>
          <w:lang w:val="en-US" w:bidi="ar"/>
        </w:rPr>
        <w:t>公司不属于天津市、津南区重点用能单位，但是建厂开始企业非常重视节能减排工作，企业主动节能节材，采取各种有效节材措施，提高原材料利用率。主动开展能源审计工作，注重技术节能与管理节能相结合。</w:t>
      </w:r>
      <w:r w:rsidRPr="00CA0103">
        <w:rPr>
          <w:sz w:val="28"/>
          <w:szCs w:val="28"/>
          <w:lang w:val="en-US" w:bidi="ar"/>
        </w:rPr>
        <w:t>2020</w:t>
      </w:r>
      <w:r w:rsidRPr="00CA0103">
        <w:rPr>
          <w:rFonts w:hint="eastAsia"/>
          <w:sz w:val="28"/>
          <w:szCs w:val="28"/>
          <w:lang w:val="en-US" w:bidi="ar"/>
        </w:rPr>
        <w:t>年初年开始实施碳核查工作，并委托第三方机构出具了碳核查报告。</w:t>
      </w:r>
    </w:p>
    <w:p w14:paraId="5F0F734B" w14:textId="77777777" w:rsidR="00127FDC" w:rsidRPr="00CA0103" w:rsidRDefault="00127FDC" w:rsidP="00127FDC">
      <w:pPr>
        <w:pStyle w:val="a8"/>
        <w:spacing w:line="360" w:lineRule="auto"/>
        <w:ind w:right="255" w:firstLineChars="200" w:firstLine="560"/>
        <w:rPr>
          <w:sz w:val="28"/>
          <w:szCs w:val="28"/>
          <w:lang w:val="en-US" w:bidi="ar"/>
        </w:rPr>
      </w:pPr>
      <w:r w:rsidRPr="00CA0103">
        <w:rPr>
          <w:rFonts w:hint="eastAsia"/>
          <w:sz w:val="28"/>
          <w:szCs w:val="28"/>
          <w:lang w:val="en-US" w:bidi="ar"/>
        </w:rPr>
        <w:t>公司坚持绿色发展理念，不断转型升级，逐步向自动化、信息化方向发展。</w:t>
      </w:r>
    </w:p>
    <w:p w14:paraId="6EC6EB45" w14:textId="77777777" w:rsidR="00127FDC" w:rsidRPr="00CA0103" w:rsidRDefault="00127FDC" w:rsidP="00127FDC">
      <w:pPr>
        <w:spacing w:line="360" w:lineRule="auto"/>
        <w:ind w:firstLineChars="200" w:firstLine="560"/>
        <w:rPr>
          <w:rFonts w:ascii="仿宋" w:eastAsia="仿宋" w:hAnsi="仿宋" w:cs="仿宋"/>
          <w:kern w:val="0"/>
          <w:sz w:val="28"/>
          <w:szCs w:val="28"/>
          <w:lang w:bidi="ar"/>
        </w:rPr>
      </w:pPr>
      <w:r w:rsidRPr="00CA0103">
        <w:rPr>
          <w:rFonts w:ascii="仿宋" w:eastAsia="仿宋" w:hAnsi="仿宋" w:cs="仿宋" w:hint="eastAsia"/>
          <w:kern w:val="0"/>
          <w:sz w:val="28"/>
          <w:szCs w:val="28"/>
          <w:lang w:bidi="ar"/>
        </w:rPr>
        <w:t>2019年公司产销量539.2万件，主营业务收入10179万元，上缴税金177万，占汽车零部件市场份额如下：长城哈佛系列占徐水长城市场份额10%；哈佛H6加强柱内板占徐水长城市场份额100%；哈佛H6上边梁内板占徐水长城市场份额100%；哈佛H6地板纵梁占徐水长城市场份额100%；探岳汽车顶盖占天津一汽大众市场份额100%。</w:t>
      </w:r>
    </w:p>
    <w:p w14:paraId="16FCB046" w14:textId="4B839219" w:rsidR="00F10217" w:rsidRDefault="00CA0103">
      <w:pPr>
        <w:widowControl/>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公司全面实行精益生产管理，本着“高质量，少浪费”的原则，积极引进“丰田作业法”，并且全面引进ISO管理体系先进理念，推动企业高质量发展。公司已经建立了系列管理体系并或得权</w:t>
      </w:r>
      <w:r>
        <w:rPr>
          <w:rFonts w:ascii="仿宋" w:eastAsia="仿宋" w:hAnsi="仿宋" w:cs="仿宋" w:hint="eastAsia"/>
          <w:kern w:val="0"/>
          <w:sz w:val="28"/>
          <w:szCs w:val="28"/>
          <w:lang w:bidi="ar"/>
        </w:rPr>
        <w:lastRenderedPageBreak/>
        <w:t>威第三方机构的认证，如IATF16949认证、ISO14001和OHSAS18001、能源管理体系认证，并且证书持续有效。目前,公司引进了自动化智能化生产设备，共有自动焊接机器人</w:t>
      </w:r>
      <w:r>
        <w:rPr>
          <w:rFonts w:ascii="仿宋" w:eastAsia="仿宋" w:hAnsi="仿宋" w:cs="仿宋"/>
          <w:kern w:val="0"/>
          <w:sz w:val="28"/>
          <w:szCs w:val="28"/>
          <w:lang w:bidi="ar"/>
        </w:rPr>
        <w:t>6</w:t>
      </w:r>
      <w:r>
        <w:rPr>
          <w:rFonts w:ascii="仿宋" w:eastAsia="仿宋" w:hAnsi="仿宋" w:cs="仿宋" w:hint="eastAsia"/>
          <w:kern w:val="0"/>
          <w:sz w:val="28"/>
          <w:szCs w:val="28"/>
          <w:lang w:bidi="ar"/>
        </w:rPr>
        <w:t>台，自动生产线</w:t>
      </w:r>
      <w:r>
        <w:rPr>
          <w:rFonts w:ascii="仿宋" w:eastAsia="仿宋" w:hAnsi="仿宋" w:cs="仿宋"/>
          <w:kern w:val="0"/>
          <w:sz w:val="28"/>
          <w:szCs w:val="28"/>
          <w:lang w:bidi="ar"/>
        </w:rPr>
        <w:t>1</w:t>
      </w:r>
      <w:r>
        <w:rPr>
          <w:rFonts w:ascii="仿宋" w:eastAsia="仿宋" w:hAnsi="仿宋" w:cs="仿宋" w:hint="eastAsia"/>
          <w:kern w:val="0"/>
          <w:sz w:val="28"/>
          <w:szCs w:val="28"/>
          <w:lang w:bidi="ar"/>
        </w:rPr>
        <w:t>条。</w:t>
      </w:r>
    </w:p>
    <w:p w14:paraId="77032BD8" w14:textId="23E0DFB9" w:rsidR="00F10217" w:rsidRDefault="00CA0103">
      <w:pPr>
        <w:widowControl/>
        <w:ind w:firstLineChars="200" w:firstLine="560"/>
        <w:jc w:val="left"/>
        <w:rPr>
          <w:rFonts w:ascii="仿宋" w:eastAsia="仿宋" w:hAnsi="仿宋" w:cs="仿宋"/>
          <w:sz w:val="28"/>
          <w:szCs w:val="28"/>
        </w:rPr>
      </w:pPr>
      <w:r>
        <w:rPr>
          <w:rFonts w:ascii="仿宋" w:eastAsia="仿宋" w:hAnsi="仿宋" w:cs="仿宋" w:hint="eastAsia"/>
          <w:kern w:val="0"/>
          <w:sz w:val="28"/>
          <w:szCs w:val="28"/>
          <w:lang w:bidi="ar"/>
        </w:rPr>
        <w:t>公司通过落实用水、用能</w:t>
      </w:r>
      <w:r w:rsidR="00C50A99">
        <w:rPr>
          <w:rFonts w:ascii="仿宋" w:eastAsia="仿宋" w:hAnsi="仿宋" w:cs="仿宋" w:hint="eastAsia"/>
          <w:kern w:val="0"/>
          <w:sz w:val="28"/>
          <w:szCs w:val="28"/>
          <w:lang w:bidi="ar"/>
        </w:rPr>
        <w:t>次</w:t>
      </w:r>
      <w:r>
        <w:rPr>
          <w:rFonts w:ascii="仿宋" w:eastAsia="仿宋" w:hAnsi="仿宋" w:cs="仿宋" w:hint="eastAsia"/>
          <w:kern w:val="0"/>
          <w:sz w:val="28"/>
          <w:szCs w:val="28"/>
          <w:lang w:bidi="ar"/>
        </w:rPr>
        <w:t>级计量措施进一步提高水回收率，同时开展清洁生产审核、能源审计、能源管理体系认证等技术管理措施，降低能源的使用，通过不断完善环保运行规章制度，总结环境保护系统的运行经验，从生产前、生产中、生产后三个方面进行全方位、全过程的预防、治理，坚持可持续发展理念。</w:t>
      </w:r>
    </w:p>
    <w:p w14:paraId="4FB5E312" w14:textId="77777777" w:rsidR="00F10217" w:rsidRDefault="00CA0103">
      <w:pPr>
        <w:widowControl/>
        <w:ind w:firstLineChars="200" w:firstLine="560"/>
        <w:jc w:val="left"/>
        <w:rPr>
          <w:rFonts w:ascii="仿宋" w:eastAsia="仿宋" w:hAnsi="仿宋" w:cs="仿宋"/>
          <w:sz w:val="28"/>
          <w:szCs w:val="28"/>
        </w:rPr>
      </w:pPr>
      <w:r>
        <w:rPr>
          <w:rFonts w:ascii="仿宋" w:eastAsia="仿宋" w:hAnsi="仿宋" w:cs="仿宋" w:hint="eastAsia"/>
          <w:kern w:val="0"/>
          <w:sz w:val="28"/>
          <w:szCs w:val="28"/>
          <w:lang w:bidi="ar"/>
        </w:rPr>
        <w:t>本研究的目的是得到汽车零部件产品全生命周期过程的碳足迹，为我公司开展持续的节能减排工作提供数据支撑。碳足迹核算是实现低碳、绿色发展的基础和关键，披露产品的碳足迹是我公司环境保护工作和社会责任的一部分，也是我公司迈向国际市场的重要一步。本项目的研究结果将为我公司的采购商和第三方的有效沟通提供良好的途径，对促进产品全供应链的温室气体减排具有一定积极作用。</w:t>
      </w:r>
    </w:p>
    <w:p w14:paraId="0FD50F12" w14:textId="77777777" w:rsidR="00F10217" w:rsidRDefault="00CA0103">
      <w:pPr>
        <w:widowControl/>
        <w:ind w:firstLineChars="200" w:firstLine="560"/>
        <w:jc w:val="left"/>
        <w:rPr>
          <w:rFonts w:ascii="仿宋" w:eastAsia="仿宋" w:hAnsi="仿宋" w:cs="仿宋"/>
          <w:sz w:val="28"/>
          <w:szCs w:val="28"/>
        </w:rPr>
      </w:pPr>
      <w:r>
        <w:rPr>
          <w:rFonts w:ascii="仿宋" w:eastAsia="仿宋" w:hAnsi="仿宋" w:cs="仿宋" w:hint="eastAsia"/>
          <w:kern w:val="0"/>
          <w:sz w:val="28"/>
          <w:szCs w:val="28"/>
          <w:lang w:bidi="ar"/>
        </w:rPr>
        <w:t xml:space="preserve">本项目研究结果的潜在沟通对象包括两个群体：一是我公司内部管理人员及其他相关人员，二是企业外部利益相关方，如上游原材料供应商、下游采购商、地方政府和环境非政府组织等。 </w:t>
      </w:r>
    </w:p>
    <w:p w14:paraId="7BAFDDBB" w14:textId="77777777" w:rsidR="00F10217" w:rsidRDefault="00CA0103">
      <w:pPr>
        <w:widowControl/>
        <w:jc w:val="left"/>
        <w:outlineLvl w:val="1"/>
        <w:rPr>
          <w:rFonts w:ascii="仿宋" w:eastAsia="仿宋" w:hAnsi="仿宋" w:cs="仿宋"/>
          <w:b/>
          <w:kern w:val="0"/>
          <w:sz w:val="28"/>
          <w:szCs w:val="28"/>
          <w:lang w:bidi="ar"/>
        </w:rPr>
      </w:pPr>
      <w:r>
        <w:rPr>
          <w:rFonts w:ascii="仿宋" w:eastAsia="仿宋" w:hAnsi="仿宋" w:cs="仿宋" w:hint="eastAsia"/>
          <w:b/>
          <w:kern w:val="0"/>
          <w:sz w:val="28"/>
          <w:szCs w:val="28"/>
          <w:lang w:bidi="ar"/>
        </w:rPr>
        <w:t xml:space="preserve">3.3 研究的边界 </w:t>
      </w:r>
    </w:p>
    <w:p w14:paraId="24DA57FB" w14:textId="70FBB144" w:rsidR="00F10217" w:rsidRDefault="00CA0103">
      <w:pPr>
        <w:widowControl/>
        <w:ind w:firstLineChars="200" w:firstLine="560"/>
        <w:jc w:val="left"/>
        <w:rPr>
          <w:rFonts w:ascii="仿宋" w:eastAsia="仿宋" w:hAnsi="仿宋" w:cs="仿宋"/>
          <w:sz w:val="28"/>
          <w:szCs w:val="28"/>
        </w:rPr>
      </w:pPr>
      <w:r>
        <w:rPr>
          <w:rFonts w:ascii="仿宋" w:eastAsia="仿宋" w:hAnsi="仿宋" w:cs="仿宋" w:hint="eastAsia"/>
          <w:kern w:val="0"/>
          <w:sz w:val="28"/>
          <w:szCs w:val="28"/>
          <w:lang w:bidi="ar"/>
        </w:rPr>
        <w:t>根据本项目的研究目的，按照 ISO/TS 14067-2013、PAS 2050：2011 标准的要求，本次碳足迹评价的边界为天津正道机械制</w:t>
      </w:r>
      <w:r>
        <w:rPr>
          <w:rFonts w:ascii="仿宋" w:eastAsia="仿宋" w:hAnsi="仿宋" w:cs="仿宋" w:hint="eastAsia"/>
          <w:kern w:val="0"/>
          <w:sz w:val="28"/>
          <w:szCs w:val="28"/>
          <w:lang w:bidi="ar"/>
        </w:rPr>
        <w:lastRenderedPageBreak/>
        <w:t xml:space="preserve">造有限公司2019年全年生产活动及非生产活动数据。因此，确定本次评价边界为：产品的碳足迹=原材料运输+能源消耗+汽车零部件生产+运输。 </w:t>
      </w:r>
    </w:p>
    <w:p w14:paraId="676DF433" w14:textId="77777777" w:rsidR="00F10217" w:rsidRDefault="00CA0103">
      <w:pPr>
        <w:widowControl/>
        <w:jc w:val="left"/>
        <w:outlineLvl w:val="1"/>
        <w:rPr>
          <w:rFonts w:ascii="仿宋" w:eastAsia="仿宋" w:hAnsi="仿宋" w:cs="仿宋"/>
          <w:sz w:val="28"/>
          <w:szCs w:val="28"/>
        </w:rPr>
      </w:pPr>
      <w:r>
        <w:rPr>
          <w:rFonts w:ascii="仿宋" w:eastAsia="仿宋" w:hAnsi="仿宋" w:cs="仿宋" w:hint="eastAsia"/>
          <w:b/>
          <w:kern w:val="0"/>
          <w:sz w:val="28"/>
          <w:szCs w:val="28"/>
          <w:lang w:bidi="ar"/>
        </w:rPr>
        <w:t xml:space="preserve">3.4 碳排放数据计算 </w:t>
      </w:r>
    </w:p>
    <w:p w14:paraId="003E3554"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t>本公司所使用的原材料主要是钢带，但由于供应商较多，未对其进行原材料生产能耗的调研，故此次仅对主要原材料运输产生的排放，我公司生产过程中的排放、能源消耗排放及运输出大门的排放进行核算。</w:t>
      </w:r>
    </w:p>
    <w:p w14:paraId="6D908119" w14:textId="77777777" w:rsidR="00F10217" w:rsidRDefault="00CA0103">
      <w:pPr>
        <w:widowControl/>
        <w:ind w:firstLineChars="200" w:firstLine="560"/>
        <w:jc w:val="left"/>
        <w:rPr>
          <w:rFonts w:ascii="华文仿宋" w:eastAsia="华文仿宋" w:hAnsi="华文仿宋" w:cs="华文仿宋"/>
          <w:kern w:val="0"/>
          <w:sz w:val="28"/>
          <w:szCs w:val="28"/>
          <w:lang w:bidi="ar"/>
        </w:rPr>
      </w:pPr>
      <w:r>
        <w:rPr>
          <w:rFonts w:ascii="华文仿宋" w:eastAsia="华文仿宋" w:hAnsi="华文仿宋" w:cs="华文仿宋" w:hint="eastAsia"/>
          <w:kern w:val="0"/>
          <w:sz w:val="28"/>
          <w:szCs w:val="28"/>
          <w:lang w:bidi="ar"/>
        </w:rPr>
        <w:t>根据以上公式可以计算出</w:t>
      </w:r>
      <w:r>
        <w:rPr>
          <w:rFonts w:ascii="TimesNewRomanPSMT" w:eastAsia="TimesNewRomanPSMT" w:hAnsi="TimesNewRomanPSMT" w:cs="TimesNewRomanPSMT"/>
          <w:kern w:val="0"/>
          <w:sz w:val="28"/>
          <w:szCs w:val="28"/>
          <w:lang w:bidi="ar"/>
        </w:rPr>
        <w:t>201</w:t>
      </w:r>
      <w:r>
        <w:rPr>
          <w:rFonts w:ascii="TimesNewRomanPSMT" w:eastAsia="TimesNewRomanPSMT" w:hAnsi="TimesNewRomanPSMT" w:cs="TimesNewRomanPSMT" w:hint="eastAsia"/>
          <w:kern w:val="0"/>
          <w:sz w:val="28"/>
          <w:szCs w:val="28"/>
          <w:lang w:bidi="ar"/>
        </w:rPr>
        <w:t>9</w:t>
      </w:r>
      <w:r>
        <w:rPr>
          <w:rFonts w:ascii="华文仿宋" w:eastAsia="华文仿宋" w:hAnsi="华文仿宋" w:cs="华文仿宋" w:hint="eastAsia"/>
          <w:kern w:val="0"/>
          <w:sz w:val="28"/>
          <w:szCs w:val="28"/>
          <w:lang w:bidi="ar"/>
        </w:rPr>
        <w:t>年度单位产品的生命周期二氧化碳的排放量。因此</w:t>
      </w:r>
      <w:r>
        <w:rPr>
          <w:rFonts w:ascii="TimesNewRomanPSMT" w:eastAsia="TimesNewRomanPSMT" w:hAnsi="TimesNewRomanPSMT" w:cs="TimesNewRomanPSMT"/>
          <w:kern w:val="0"/>
          <w:sz w:val="28"/>
          <w:szCs w:val="28"/>
          <w:lang w:bidi="ar"/>
        </w:rPr>
        <w:t>1T</w:t>
      </w:r>
      <w:r>
        <w:rPr>
          <w:rFonts w:ascii="华文仿宋" w:eastAsia="华文仿宋" w:hAnsi="华文仿宋" w:cs="华文仿宋" w:hint="eastAsia"/>
          <w:kern w:val="0"/>
          <w:sz w:val="28"/>
          <w:szCs w:val="28"/>
          <w:lang w:bidi="ar"/>
        </w:rPr>
        <w:t xml:space="preserve">产品的碳足迹 </w:t>
      </w:r>
      <w:r>
        <w:rPr>
          <w:rFonts w:ascii="TimesNewRomanPSMT" w:eastAsia="TimesNewRomanPSMT" w:hAnsi="TimesNewRomanPSMT" w:cs="TimesNewRomanPSMT"/>
          <w:kern w:val="0"/>
          <w:sz w:val="28"/>
          <w:szCs w:val="28"/>
          <w:lang w:bidi="ar"/>
        </w:rPr>
        <w:t>e=</w:t>
      </w:r>
      <w:r>
        <w:rPr>
          <w:rFonts w:ascii="TimesNewRomanPSMT" w:eastAsia="TimesNewRomanPSMT" w:hAnsi="TimesNewRomanPSMT" w:cs="TimesNewRomanPSMT" w:hint="eastAsia"/>
          <w:kern w:val="0"/>
          <w:sz w:val="28"/>
          <w:szCs w:val="28"/>
          <w:lang w:bidi="ar"/>
        </w:rPr>
        <w:t>**</w:t>
      </w:r>
      <w:r>
        <w:rPr>
          <w:rFonts w:ascii="TimesNewRomanPSMT" w:eastAsia="TimesNewRomanPSMT" w:hAnsi="TimesNewRomanPSMT" w:cs="TimesNewRomanPSMT"/>
          <w:kern w:val="0"/>
          <w:sz w:val="28"/>
          <w:szCs w:val="28"/>
          <w:lang w:bidi="ar"/>
        </w:rPr>
        <w:t>tCO</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e</w:t>
      </w:r>
      <w:r>
        <w:rPr>
          <w:rFonts w:ascii="华文仿宋" w:eastAsia="华文仿宋" w:hAnsi="华文仿宋" w:cs="华文仿宋" w:hint="eastAsia"/>
          <w:kern w:val="0"/>
          <w:sz w:val="28"/>
          <w:szCs w:val="28"/>
          <w:lang w:bidi="ar"/>
        </w:rPr>
        <w:t>，计算得到生产汽车零部件的碳足迹为**</w:t>
      </w:r>
      <w:r>
        <w:rPr>
          <w:rFonts w:ascii="TimesNewRomanPSMT" w:eastAsia="TimesNewRomanPSMT" w:hAnsi="TimesNewRomanPSMT" w:cs="TimesNewRomanPSMT"/>
          <w:kern w:val="0"/>
          <w:sz w:val="28"/>
          <w:szCs w:val="28"/>
          <w:lang w:bidi="ar"/>
        </w:rPr>
        <w:t>tCO</w:t>
      </w:r>
      <w:r>
        <w:rPr>
          <w:rFonts w:ascii="TimesNewRomanPSMT" w:eastAsia="TimesNewRomanPSMT" w:hAnsi="TimesNewRomanPSMT" w:cs="TimesNewRomanPSMT"/>
          <w:kern w:val="0"/>
          <w:sz w:val="28"/>
          <w:szCs w:val="28"/>
          <w:vertAlign w:val="subscript"/>
          <w:lang w:bidi="ar"/>
        </w:rPr>
        <w:t>2</w:t>
      </w:r>
      <w:r>
        <w:rPr>
          <w:rFonts w:ascii="TimesNewRomanPSMT" w:eastAsia="TimesNewRomanPSMT" w:hAnsi="TimesNewRomanPSMT" w:cs="TimesNewRomanPSMT"/>
          <w:kern w:val="0"/>
          <w:sz w:val="28"/>
          <w:szCs w:val="28"/>
          <w:lang w:bidi="ar"/>
        </w:rPr>
        <w:t>e</w:t>
      </w:r>
      <w:r>
        <w:rPr>
          <w:rFonts w:ascii="华文仿宋" w:eastAsia="华文仿宋" w:hAnsi="华文仿宋" w:cs="华文仿宋" w:hint="eastAsia"/>
          <w:kern w:val="0"/>
          <w:sz w:val="28"/>
          <w:szCs w:val="28"/>
          <w:lang w:bidi="ar"/>
        </w:rPr>
        <w:t>。从汽车零部件生命周期累计碳足迹贡献比例的情况，可以看出汽车零部件的碳排放环节主要集中在生产过程的能源消耗活动。</w:t>
      </w:r>
    </w:p>
    <w:p w14:paraId="5BB59504" w14:textId="77777777" w:rsidR="00F10217" w:rsidRDefault="00CA0103">
      <w:pPr>
        <w:spacing w:before="10" w:afterLines="50" w:after="156" w:line="360" w:lineRule="auto"/>
        <w:ind w:left="1166"/>
        <w:rPr>
          <w:rFonts w:ascii="仿宋" w:eastAsia="仿宋" w:hAnsi="仿宋" w:cs="仿宋"/>
          <w:b/>
          <w:bCs/>
          <w:color w:val="000000" w:themeColor="text1"/>
          <w:sz w:val="24"/>
        </w:rPr>
      </w:pPr>
      <w:r>
        <w:rPr>
          <w:rFonts w:ascii="仿宋" w:eastAsia="仿宋" w:hAnsi="仿宋" w:cs="仿宋" w:hint="eastAsia"/>
          <w:b/>
          <w:bCs/>
          <w:color w:val="000000" w:themeColor="text1"/>
          <w:sz w:val="24"/>
        </w:rPr>
        <w:t>2019</w:t>
      </w:r>
      <w:r>
        <w:rPr>
          <w:rFonts w:ascii="仿宋" w:eastAsia="仿宋" w:hAnsi="仿宋" w:cs="仿宋" w:hint="eastAsia"/>
          <w:b/>
          <w:bCs/>
          <w:color w:val="000000" w:themeColor="text1"/>
          <w:spacing w:val="3"/>
          <w:sz w:val="24"/>
        </w:rPr>
        <w:t xml:space="preserve"> </w:t>
      </w:r>
      <w:r>
        <w:rPr>
          <w:rFonts w:ascii="仿宋" w:eastAsia="仿宋" w:hAnsi="仿宋" w:cs="仿宋" w:hint="eastAsia"/>
          <w:b/>
          <w:bCs/>
          <w:color w:val="000000" w:themeColor="text1"/>
          <w:spacing w:val="-3"/>
          <w:sz w:val="24"/>
        </w:rPr>
        <w:t>年产品全生命周期温室气体排放量核查情况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5"/>
        <w:gridCol w:w="1097"/>
        <w:gridCol w:w="2430"/>
        <w:gridCol w:w="2025"/>
        <w:gridCol w:w="1516"/>
        <w:gridCol w:w="7"/>
      </w:tblGrid>
      <w:tr w:rsidR="00F10217" w14:paraId="374CFA6E" w14:textId="77777777">
        <w:trPr>
          <w:trHeight w:val="837"/>
          <w:jc w:val="center"/>
        </w:trPr>
        <w:tc>
          <w:tcPr>
            <w:tcW w:w="1265" w:type="dxa"/>
            <w:vAlign w:val="center"/>
          </w:tcPr>
          <w:p w14:paraId="6022A91F" w14:textId="77777777" w:rsidR="00F10217" w:rsidRDefault="00CA0103">
            <w:pPr>
              <w:pStyle w:val="TableParagraph"/>
              <w:spacing w:before="10" w:afterLines="50" w:after="156"/>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环境类别</w:t>
            </w:r>
          </w:p>
        </w:tc>
        <w:tc>
          <w:tcPr>
            <w:tcW w:w="1097" w:type="dxa"/>
            <w:vAlign w:val="center"/>
          </w:tcPr>
          <w:p w14:paraId="2CBEEEF8" w14:textId="77777777" w:rsidR="00F10217" w:rsidRDefault="00CA0103">
            <w:pPr>
              <w:pStyle w:val="TableParagraph"/>
              <w:spacing w:before="10" w:afterLines="50" w:after="156"/>
              <w:ind w:left="302" w:right="29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序号</w:t>
            </w:r>
          </w:p>
        </w:tc>
        <w:tc>
          <w:tcPr>
            <w:tcW w:w="2430" w:type="dxa"/>
            <w:vAlign w:val="center"/>
          </w:tcPr>
          <w:p w14:paraId="33E2585E" w14:textId="77777777" w:rsidR="00F10217" w:rsidRDefault="00CA0103">
            <w:pPr>
              <w:pStyle w:val="TableParagraph"/>
              <w:spacing w:before="10" w:afterLines="50" w:after="156"/>
              <w:ind w:left="45" w:right="36"/>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全生命周期各个阶段</w:t>
            </w:r>
          </w:p>
        </w:tc>
        <w:tc>
          <w:tcPr>
            <w:tcW w:w="2025" w:type="dxa"/>
            <w:vAlign w:val="center"/>
          </w:tcPr>
          <w:p w14:paraId="0D64D170" w14:textId="77777777" w:rsidR="00F10217" w:rsidRDefault="00CA0103">
            <w:pPr>
              <w:pStyle w:val="TableParagraph"/>
              <w:spacing w:before="10" w:afterLines="50" w:after="156"/>
              <w:ind w:right="98"/>
              <w:jc w:val="center"/>
              <w:rPr>
                <w:rFonts w:ascii="仿宋" w:eastAsia="仿宋" w:hAnsi="仿宋" w:cs="仿宋"/>
                <w:b/>
                <w:bCs/>
                <w:color w:val="000000" w:themeColor="text1"/>
                <w:sz w:val="24"/>
              </w:rPr>
            </w:pPr>
            <w:r>
              <w:rPr>
                <w:rFonts w:ascii="仿宋" w:eastAsia="仿宋" w:hAnsi="仿宋" w:cs="仿宋" w:hint="eastAsia"/>
                <w:b/>
                <w:bCs/>
                <w:color w:val="000000" w:themeColor="text1"/>
                <w:position w:val="2"/>
                <w:sz w:val="24"/>
              </w:rPr>
              <w:t>温室气体排放量（tCO</w:t>
            </w:r>
            <w:r>
              <w:rPr>
                <w:rFonts w:ascii="仿宋" w:eastAsia="仿宋" w:hAnsi="仿宋" w:cs="仿宋" w:hint="eastAsia"/>
                <w:b/>
                <w:bCs/>
                <w:color w:val="000000" w:themeColor="text1"/>
                <w:sz w:val="24"/>
                <w:vertAlign w:val="subscript"/>
              </w:rPr>
              <w:t>2</w:t>
            </w:r>
            <w:r>
              <w:rPr>
                <w:rFonts w:ascii="仿宋" w:eastAsia="仿宋" w:hAnsi="仿宋" w:cs="仿宋" w:hint="eastAsia"/>
                <w:b/>
                <w:bCs/>
                <w:color w:val="000000" w:themeColor="text1"/>
                <w:sz w:val="24"/>
              </w:rPr>
              <w:t>）</w:t>
            </w:r>
          </w:p>
        </w:tc>
        <w:tc>
          <w:tcPr>
            <w:tcW w:w="1523" w:type="dxa"/>
            <w:gridSpan w:val="2"/>
            <w:vAlign w:val="center"/>
          </w:tcPr>
          <w:p w14:paraId="6FC36D82" w14:textId="77777777" w:rsidR="00F10217" w:rsidRDefault="00CA0103">
            <w:pPr>
              <w:pStyle w:val="TableParagraph"/>
              <w:tabs>
                <w:tab w:val="left" w:pos="554"/>
              </w:tabs>
              <w:spacing w:before="10" w:afterLines="50" w:after="156"/>
              <w:ind w:left="-164" w:right="545"/>
              <w:rPr>
                <w:rFonts w:ascii="仿宋" w:eastAsia="仿宋" w:hAnsi="仿宋" w:cs="仿宋"/>
                <w:b/>
                <w:bCs/>
                <w:color w:val="000000" w:themeColor="text1"/>
                <w:sz w:val="24"/>
              </w:rPr>
            </w:pPr>
            <w:r>
              <w:rPr>
                <w:rFonts w:ascii="仿宋" w:eastAsia="仿宋" w:hAnsi="仿宋" w:cs="仿宋" w:hint="eastAsia"/>
                <w:b/>
                <w:bCs/>
                <w:color w:val="000000" w:themeColor="text1"/>
                <w:spacing w:val="-7"/>
                <w:sz w:val="24"/>
              </w:rPr>
              <w:t xml:space="preserve">    占比%</w:t>
            </w:r>
          </w:p>
        </w:tc>
      </w:tr>
      <w:tr w:rsidR="00F10217" w14:paraId="2513F1C2" w14:textId="77777777">
        <w:trPr>
          <w:trHeight w:val="623"/>
          <w:jc w:val="center"/>
        </w:trPr>
        <w:tc>
          <w:tcPr>
            <w:tcW w:w="1265" w:type="dxa"/>
            <w:vMerge w:val="restart"/>
            <w:vAlign w:val="center"/>
          </w:tcPr>
          <w:p w14:paraId="1F301E83" w14:textId="77777777" w:rsidR="00F10217" w:rsidRDefault="00CA0103">
            <w:pPr>
              <w:pStyle w:val="TableParagraph"/>
              <w:spacing w:before="10" w:afterLines="50" w:after="156"/>
              <w:ind w:left="69" w:right="60"/>
              <w:jc w:val="center"/>
              <w:rPr>
                <w:rFonts w:ascii="仿宋" w:eastAsia="仿宋" w:hAnsi="仿宋" w:cs="仿宋"/>
                <w:sz w:val="24"/>
              </w:rPr>
            </w:pPr>
            <w:r>
              <w:rPr>
                <w:rFonts w:ascii="仿宋" w:eastAsia="仿宋" w:hAnsi="仿宋" w:cs="仿宋" w:hint="eastAsia"/>
                <w:sz w:val="24"/>
              </w:rPr>
              <w:t>产品</w:t>
            </w:r>
          </w:p>
          <w:p w14:paraId="140F452F" w14:textId="77777777" w:rsidR="00F10217" w:rsidRDefault="00CA0103">
            <w:pPr>
              <w:pStyle w:val="TableParagraph"/>
              <w:spacing w:before="10" w:afterLines="50" w:after="156"/>
              <w:ind w:left="69" w:right="60"/>
              <w:jc w:val="center"/>
              <w:rPr>
                <w:rFonts w:ascii="仿宋" w:eastAsia="仿宋" w:hAnsi="仿宋" w:cs="仿宋"/>
                <w:sz w:val="24"/>
              </w:rPr>
            </w:pPr>
            <w:r>
              <w:rPr>
                <w:rFonts w:ascii="仿宋" w:eastAsia="仿宋" w:hAnsi="仿宋" w:cs="仿宋" w:hint="eastAsia"/>
                <w:sz w:val="24"/>
              </w:rPr>
              <w:t>碳足迹</w:t>
            </w:r>
          </w:p>
          <w:p w14:paraId="28DDDB64" w14:textId="77777777" w:rsidR="00F10217" w:rsidRDefault="00CA0103">
            <w:pPr>
              <w:pStyle w:val="TableParagraph"/>
              <w:spacing w:before="10" w:afterLines="50" w:after="156"/>
              <w:ind w:left="69" w:right="60"/>
              <w:jc w:val="center"/>
              <w:rPr>
                <w:rFonts w:ascii="仿宋" w:eastAsia="仿宋" w:hAnsi="仿宋" w:cs="仿宋"/>
                <w:sz w:val="24"/>
              </w:rPr>
            </w:pPr>
            <w:r>
              <w:rPr>
                <w:rFonts w:ascii="仿宋" w:eastAsia="仿宋" w:hAnsi="仿宋" w:cs="仿宋" w:hint="eastAsia"/>
                <w:sz w:val="24"/>
              </w:rPr>
              <w:t>（CF）</w:t>
            </w:r>
          </w:p>
        </w:tc>
        <w:tc>
          <w:tcPr>
            <w:tcW w:w="1097" w:type="dxa"/>
            <w:vAlign w:val="center"/>
          </w:tcPr>
          <w:p w14:paraId="62365176" w14:textId="77777777" w:rsidR="00F10217" w:rsidRDefault="00CA0103">
            <w:pPr>
              <w:pStyle w:val="TableParagraph"/>
              <w:spacing w:before="10" w:afterLines="50" w:after="156"/>
              <w:ind w:left="11"/>
              <w:jc w:val="center"/>
              <w:rPr>
                <w:rFonts w:ascii="仿宋" w:eastAsia="仿宋" w:hAnsi="仿宋" w:cs="仿宋"/>
                <w:sz w:val="24"/>
              </w:rPr>
            </w:pPr>
            <w:r>
              <w:rPr>
                <w:rFonts w:ascii="仿宋" w:eastAsia="仿宋" w:hAnsi="仿宋" w:cs="仿宋" w:hint="eastAsia"/>
                <w:sz w:val="24"/>
              </w:rPr>
              <w:t>1</w:t>
            </w:r>
          </w:p>
        </w:tc>
        <w:tc>
          <w:tcPr>
            <w:tcW w:w="2430" w:type="dxa"/>
            <w:vAlign w:val="center"/>
          </w:tcPr>
          <w:p w14:paraId="58DFF64E" w14:textId="77777777" w:rsidR="00F10217" w:rsidRDefault="00CA0103">
            <w:pPr>
              <w:pStyle w:val="TableParagraph"/>
              <w:spacing w:before="10" w:afterLines="50" w:after="156"/>
              <w:ind w:left="45" w:right="36"/>
              <w:jc w:val="center"/>
              <w:rPr>
                <w:rFonts w:ascii="仿宋" w:eastAsia="仿宋" w:hAnsi="仿宋" w:cs="仿宋"/>
                <w:sz w:val="24"/>
              </w:rPr>
            </w:pPr>
            <w:r>
              <w:rPr>
                <w:rFonts w:ascii="仿宋" w:eastAsia="仿宋" w:hAnsi="仿宋" w:cs="仿宋" w:hint="eastAsia"/>
                <w:sz w:val="24"/>
              </w:rPr>
              <w:t>原料运输</w:t>
            </w:r>
          </w:p>
        </w:tc>
        <w:tc>
          <w:tcPr>
            <w:tcW w:w="2025" w:type="dxa"/>
            <w:vAlign w:val="center"/>
          </w:tcPr>
          <w:p w14:paraId="22F8F165" w14:textId="0C71CAD9" w:rsidR="00F10217" w:rsidRDefault="00E37465">
            <w:pPr>
              <w:pStyle w:val="TableParagraph"/>
              <w:spacing w:before="10" w:afterLines="50" w:after="156"/>
              <w:ind w:left="101" w:right="98"/>
              <w:jc w:val="center"/>
              <w:rPr>
                <w:rFonts w:ascii="仿宋" w:eastAsia="仿宋" w:hAnsi="仿宋" w:cs="仿宋"/>
                <w:sz w:val="24"/>
              </w:rPr>
            </w:pPr>
            <w:r>
              <w:rPr>
                <w:rFonts w:ascii="仿宋" w:eastAsia="仿宋" w:hAnsi="仿宋" w:cs="仿宋" w:hint="eastAsia"/>
                <w:sz w:val="24"/>
              </w:rPr>
              <w:t>37.85</w:t>
            </w:r>
          </w:p>
        </w:tc>
        <w:tc>
          <w:tcPr>
            <w:tcW w:w="1523" w:type="dxa"/>
            <w:gridSpan w:val="2"/>
            <w:vAlign w:val="center"/>
          </w:tcPr>
          <w:p w14:paraId="4351681D" w14:textId="17BBE52C" w:rsidR="00F10217" w:rsidRDefault="00CA0103">
            <w:pPr>
              <w:pStyle w:val="TableParagraph"/>
              <w:spacing w:before="10" w:afterLines="50" w:after="156"/>
              <w:ind w:left="-164" w:right="545"/>
              <w:jc w:val="center"/>
              <w:rPr>
                <w:rFonts w:ascii="仿宋" w:eastAsia="仿宋" w:hAnsi="仿宋" w:cs="仿宋"/>
                <w:sz w:val="24"/>
              </w:rPr>
            </w:pPr>
            <w:r>
              <w:rPr>
                <w:rFonts w:ascii="仿宋" w:eastAsia="仿宋" w:hAnsi="仿宋" w:cs="仿宋" w:hint="eastAsia"/>
                <w:sz w:val="24"/>
              </w:rPr>
              <w:t xml:space="preserve">   </w:t>
            </w:r>
            <w:r w:rsidR="00C50A99">
              <w:rPr>
                <w:rFonts w:ascii="仿宋" w:eastAsia="仿宋" w:hAnsi="仿宋" w:cs="仿宋" w:hint="eastAsia"/>
                <w:sz w:val="24"/>
              </w:rPr>
              <w:t>6.82</w:t>
            </w:r>
            <w:r>
              <w:rPr>
                <w:rFonts w:ascii="仿宋" w:eastAsia="仿宋" w:hAnsi="仿宋" w:cs="仿宋"/>
                <w:sz w:val="24"/>
              </w:rPr>
              <w:t>%</w:t>
            </w:r>
          </w:p>
        </w:tc>
      </w:tr>
      <w:tr w:rsidR="00F10217" w14:paraId="4FC229EF" w14:textId="77777777">
        <w:trPr>
          <w:trHeight w:val="623"/>
          <w:jc w:val="center"/>
        </w:trPr>
        <w:tc>
          <w:tcPr>
            <w:tcW w:w="1265" w:type="dxa"/>
            <w:vMerge/>
            <w:vAlign w:val="center"/>
          </w:tcPr>
          <w:p w14:paraId="092E756C" w14:textId="77777777" w:rsidR="00F10217" w:rsidRDefault="00F10217">
            <w:pPr>
              <w:spacing w:before="10" w:afterLines="50" w:after="156"/>
              <w:jc w:val="center"/>
              <w:rPr>
                <w:rFonts w:ascii="仿宋" w:eastAsia="仿宋" w:hAnsi="仿宋" w:cs="仿宋"/>
                <w:sz w:val="24"/>
              </w:rPr>
            </w:pPr>
          </w:p>
        </w:tc>
        <w:tc>
          <w:tcPr>
            <w:tcW w:w="1097" w:type="dxa"/>
            <w:vAlign w:val="center"/>
          </w:tcPr>
          <w:p w14:paraId="565B70D2" w14:textId="77777777" w:rsidR="00F10217" w:rsidRDefault="00CA0103">
            <w:pPr>
              <w:pStyle w:val="TableParagraph"/>
              <w:spacing w:before="10" w:afterLines="50" w:after="156"/>
              <w:ind w:left="11"/>
              <w:jc w:val="center"/>
              <w:rPr>
                <w:rFonts w:ascii="仿宋" w:eastAsia="仿宋" w:hAnsi="仿宋" w:cs="仿宋"/>
                <w:sz w:val="24"/>
              </w:rPr>
            </w:pPr>
            <w:r>
              <w:rPr>
                <w:rFonts w:ascii="仿宋" w:eastAsia="仿宋" w:hAnsi="仿宋" w:cs="仿宋" w:hint="eastAsia"/>
                <w:sz w:val="24"/>
              </w:rPr>
              <w:t>2</w:t>
            </w:r>
          </w:p>
        </w:tc>
        <w:tc>
          <w:tcPr>
            <w:tcW w:w="2430" w:type="dxa"/>
            <w:vAlign w:val="center"/>
          </w:tcPr>
          <w:p w14:paraId="0D041829" w14:textId="77777777" w:rsidR="00F10217" w:rsidRDefault="00CA0103">
            <w:pPr>
              <w:pStyle w:val="TableParagraph"/>
              <w:spacing w:before="10" w:afterLines="50" w:after="156"/>
              <w:ind w:left="45" w:right="36"/>
              <w:jc w:val="center"/>
              <w:rPr>
                <w:rFonts w:ascii="仿宋" w:eastAsia="仿宋" w:hAnsi="仿宋" w:cs="仿宋"/>
                <w:sz w:val="24"/>
              </w:rPr>
            </w:pPr>
            <w:r>
              <w:rPr>
                <w:rFonts w:ascii="仿宋" w:eastAsia="仿宋" w:hAnsi="仿宋" w:cs="仿宋" w:hint="eastAsia"/>
                <w:sz w:val="24"/>
              </w:rPr>
              <w:t>产品生产</w:t>
            </w:r>
          </w:p>
        </w:tc>
        <w:tc>
          <w:tcPr>
            <w:tcW w:w="2025" w:type="dxa"/>
            <w:vAlign w:val="center"/>
          </w:tcPr>
          <w:p w14:paraId="711F97A3" w14:textId="6251C070" w:rsidR="00F10217" w:rsidRDefault="00E37465">
            <w:pPr>
              <w:pStyle w:val="TableParagraph"/>
              <w:spacing w:before="10" w:afterLines="50" w:after="156"/>
              <w:ind w:left="101" w:right="98"/>
              <w:jc w:val="center"/>
              <w:rPr>
                <w:rFonts w:ascii="仿宋" w:eastAsia="仿宋" w:hAnsi="仿宋" w:cs="仿宋"/>
                <w:sz w:val="24"/>
              </w:rPr>
            </w:pPr>
            <w:r>
              <w:rPr>
                <w:rFonts w:ascii="仿宋" w:eastAsia="仿宋" w:hAnsi="仿宋" w:cs="仿宋" w:hint="eastAsia"/>
                <w:sz w:val="24"/>
              </w:rPr>
              <w:t>480.34</w:t>
            </w:r>
          </w:p>
        </w:tc>
        <w:tc>
          <w:tcPr>
            <w:tcW w:w="1523" w:type="dxa"/>
            <w:gridSpan w:val="2"/>
            <w:vAlign w:val="center"/>
          </w:tcPr>
          <w:p w14:paraId="640931A3" w14:textId="1F4E6598" w:rsidR="00F10217" w:rsidRDefault="00CA0103">
            <w:pPr>
              <w:pStyle w:val="TableParagraph"/>
              <w:spacing w:before="10" w:afterLines="50" w:after="156"/>
              <w:ind w:left="-164" w:right="485"/>
              <w:jc w:val="center"/>
              <w:rPr>
                <w:rFonts w:ascii="仿宋" w:eastAsia="仿宋" w:hAnsi="仿宋" w:cs="仿宋"/>
                <w:sz w:val="24"/>
              </w:rPr>
            </w:pPr>
            <w:r>
              <w:rPr>
                <w:rFonts w:ascii="仿宋" w:eastAsia="仿宋" w:hAnsi="仿宋" w:cs="仿宋" w:hint="eastAsia"/>
                <w:sz w:val="24"/>
              </w:rPr>
              <w:t xml:space="preserve">   </w:t>
            </w:r>
            <w:r w:rsidR="00C50A99">
              <w:rPr>
                <w:rFonts w:ascii="仿宋" w:eastAsia="仿宋" w:hAnsi="仿宋" w:cs="仿宋" w:hint="eastAsia"/>
                <w:sz w:val="24"/>
              </w:rPr>
              <w:t>86.52</w:t>
            </w:r>
            <w:r>
              <w:rPr>
                <w:rFonts w:ascii="仿宋" w:eastAsia="仿宋" w:hAnsi="仿宋" w:cs="仿宋"/>
                <w:sz w:val="24"/>
              </w:rPr>
              <w:t>%</w:t>
            </w:r>
          </w:p>
        </w:tc>
      </w:tr>
      <w:tr w:rsidR="00F10217" w14:paraId="1D066A96" w14:textId="77777777">
        <w:trPr>
          <w:trHeight w:val="623"/>
          <w:jc w:val="center"/>
        </w:trPr>
        <w:tc>
          <w:tcPr>
            <w:tcW w:w="1265" w:type="dxa"/>
            <w:vMerge/>
            <w:vAlign w:val="center"/>
          </w:tcPr>
          <w:p w14:paraId="66CF88FE" w14:textId="77777777" w:rsidR="00F10217" w:rsidRDefault="00F10217">
            <w:pPr>
              <w:spacing w:before="10" w:afterLines="50" w:after="156"/>
              <w:jc w:val="center"/>
              <w:rPr>
                <w:rFonts w:ascii="仿宋" w:eastAsia="仿宋" w:hAnsi="仿宋" w:cs="仿宋"/>
                <w:sz w:val="24"/>
              </w:rPr>
            </w:pPr>
          </w:p>
        </w:tc>
        <w:tc>
          <w:tcPr>
            <w:tcW w:w="1097" w:type="dxa"/>
            <w:vAlign w:val="center"/>
          </w:tcPr>
          <w:p w14:paraId="42C769F1" w14:textId="77777777" w:rsidR="00F10217" w:rsidRDefault="00CA0103">
            <w:pPr>
              <w:pStyle w:val="TableParagraph"/>
              <w:spacing w:before="10" w:afterLines="50" w:after="156"/>
              <w:ind w:left="11"/>
              <w:jc w:val="center"/>
              <w:rPr>
                <w:rFonts w:ascii="仿宋" w:eastAsia="仿宋" w:hAnsi="仿宋" w:cs="仿宋"/>
                <w:sz w:val="24"/>
              </w:rPr>
            </w:pPr>
            <w:r>
              <w:rPr>
                <w:rFonts w:ascii="仿宋" w:eastAsia="仿宋" w:hAnsi="仿宋" w:cs="仿宋" w:hint="eastAsia"/>
                <w:sz w:val="24"/>
              </w:rPr>
              <w:t>3</w:t>
            </w:r>
          </w:p>
        </w:tc>
        <w:tc>
          <w:tcPr>
            <w:tcW w:w="2430" w:type="dxa"/>
            <w:vAlign w:val="center"/>
          </w:tcPr>
          <w:p w14:paraId="77380B14" w14:textId="77777777" w:rsidR="00F10217" w:rsidRDefault="00CA0103">
            <w:pPr>
              <w:pStyle w:val="TableParagraph"/>
              <w:spacing w:before="10" w:afterLines="50" w:after="156"/>
              <w:ind w:left="45" w:right="36"/>
              <w:jc w:val="center"/>
              <w:rPr>
                <w:rFonts w:ascii="仿宋" w:eastAsia="仿宋" w:hAnsi="仿宋" w:cs="仿宋"/>
                <w:sz w:val="24"/>
              </w:rPr>
            </w:pPr>
            <w:r>
              <w:rPr>
                <w:rFonts w:ascii="仿宋" w:eastAsia="仿宋" w:hAnsi="仿宋" w:cs="仿宋" w:hint="eastAsia"/>
                <w:sz w:val="24"/>
              </w:rPr>
              <w:t>产品运输</w:t>
            </w:r>
          </w:p>
        </w:tc>
        <w:tc>
          <w:tcPr>
            <w:tcW w:w="2025" w:type="dxa"/>
            <w:vAlign w:val="center"/>
          </w:tcPr>
          <w:p w14:paraId="3C0DF7E0" w14:textId="67904406" w:rsidR="00F10217" w:rsidRDefault="00C50A99">
            <w:pPr>
              <w:pStyle w:val="TableParagraph"/>
              <w:spacing w:before="10" w:afterLines="50" w:after="156"/>
              <w:ind w:left="99" w:right="98"/>
              <w:jc w:val="center"/>
              <w:rPr>
                <w:rFonts w:ascii="仿宋" w:eastAsia="仿宋" w:hAnsi="仿宋" w:cs="仿宋" w:hint="eastAsia"/>
                <w:sz w:val="24"/>
              </w:rPr>
            </w:pPr>
            <w:r>
              <w:rPr>
                <w:rFonts w:ascii="仿宋" w:eastAsia="仿宋" w:hAnsi="仿宋" w:cs="仿宋" w:hint="eastAsia"/>
                <w:sz w:val="24"/>
              </w:rPr>
              <w:t>34．64</w:t>
            </w:r>
          </w:p>
        </w:tc>
        <w:tc>
          <w:tcPr>
            <w:tcW w:w="1523" w:type="dxa"/>
            <w:gridSpan w:val="2"/>
            <w:vAlign w:val="center"/>
          </w:tcPr>
          <w:p w14:paraId="7EEB1EB8" w14:textId="07076DE8" w:rsidR="00F10217" w:rsidRDefault="00CA0103">
            <w:pPr>
              <w:pStyle w:val="TableParagraph"/>
              <w:spacing w:before="10" w:afterLines="50" w:after="156"/>
              <w:ind w:left="-164" w:right="545"/>
              <w:jc w:val="center"/>
              <w:rPr>
                <w:rFonts w:ascii="仿宋" w:eastAsia="仿宋" w:hAnsi="仿宋" w:cs="仿宋"/>
                <w:sz w:val="24"/>
              </w:rPr>
            </w:pPr>
            <w:r>
              <w:rPr>
                <w:rFonts w:ascii="仿宋" w:eastAsia="仿宋" w:hAnsi="仿宋" w:cs="仿宋" w:hint="eastAsia"/>
                <w:sz w:val="24"/>
              </w:rPr>
              <w:t xml:space="preserve">   </w:t>
            </w:r>
            <w:r w:rsidR="00C50A99">
              <w:rPr>
                <w:rFonts w:ascii="仿宋" w:eastAsia="仿宋" w:hAnsi="仿宋" w:cs="仿宋" w:hint="eastAsia"/>
                <w:sz w:val="24"/>
              </w:rPr>
              <w:t>6.23</w:t>
            </w:r>
            <w:r>
              <w:rPr>
                <w:rFonts w:ascii="仿宋" w:eastAsia="仿宋" w:hAnsi="仿宋" w:cs="仿宋"/>
                <w:sz w:val="24"/>
              </w:rPr>
              <w:t>%</w:t>
            </w:r>
          </w:p>
        </w:tc>
      </w:tr>
      <w:tr w:rsidR="00F10217" w14:paraId="7D32426B" w14:textId="77777777">
        <w:trPr>
          <w:gridAfter w:val="1"/>
          <w:wAfter w:w="7" w:type="dxa"/>
          <w:trHeight w:val="624"/>
          <w:jc w:val="center"/>
        </w:trPr>
        <w:tc>
          <w:tcPr>
            <w:tcW w:w="1268" w:type="dxa"/>
            <w:vMerge/>
            <w:vAlign w:val="center"/>
          </w:tcPr>
          <w:p w14:paraId="1A33CC25" w14:textId="77777777" w:rsidR="00F10217" w:rsidRDefault="00F10217">
            <w:pPr>
              <w:pStyle w:val="TableParagraph"/>
              <w:spacing w:before="10" w:afterLines="50" w:after="156"/>
              <w:jc w:val="center"/>
              <w:rPr>
                <w:rFonts w:ascii="仿宋" w:eastAsia="仿宋" w:hAnsi="仿宋" w:cs="仿宋"/>
                <w:sz w:val="24"/>
              </w:rPr>
            </w:pPr>
          </w:p>
        </w:tc>
        <w:tc>
          <w:tcPr>
            <w:tcW w:w="1094" w:type="dxa"/>
            <w:vAlign w:val="center"/>
          </w:tcPr>
          <w:p w14:paraId="502B5E23" w14:textId="77777777" w:rsidR="00F10217" w:rsidRDefault="00CA0103">
            <w:pPr>
              <w:pStyle w:val="TableParagraph"/>
              <w:spacing w:before="10" w:afterLines="50" w:after="156"/>
              <w:ind w:left="10"/>
              <w:jc w:val="center"/>
              <w:rPr>
                <w:rFonts w:ascii="仿宋" w:eastAsia="仿宋" w:hAnsi="仿宋" w:cs="仿宋"/>
                <w:sz w:val="24"/>
              </w:rPr>
            </w:pPr>
            <w:r>
              <w:rPr>
                <w:rFonts w:ascii="仿宋" w:eastAsia="仿宋" w:hAnsi="仿宋" w:cs="仿宋" w:hint="eastAsia"/>
                <w:sz w:val="24"/>
              </w:rPr>
              <w:t>4</w:t>
            </w:r>
          </w:p>
        </w:tc>
        <w:tc>
          <w:tcPr>
            <w:tcW w:w="2430" w:type="dxa"/>
            <w:vAlign w:val="center"/>
          </w:tcPr>
          <w:p w14:paraId="2AC7557C" w14:textId="77777777" w:rsidR="00F10217" w:rsidRDefault="00CA0103">
            <w:pPr>
              <w:pStyle w:val="TableParagraph"/>
              <w:spacing w:before="10" w:afterLines="50" w:after="156"/>
              <w:ind w:left="44" w:right="32"/>
              <w:jc w:val="center"/>
              <w:rPr>
                <w:rFonts w:ascii="仿宋" w:eastAsia="仿宋" w:hAnsi="仿宋" w:cs="仿宋"/>
                <w:sz w:val="24"/>
              </w:rPr>
            </w:pPr>
            <w:r>
              <w:rPr>
                <w:rFonts w:ascii="仿宋" w:eastAsia="仿宋" w:hAnsi="仿宋" w:cs="仿宋" w:hint="eastAsia"/>
                <w:sz w:val="24"/>
              </w:rPr>
              <w:t>产品使用过程</w:t>
            </w:r>
          </w:p>
        </w:tc>
        <w:tc>
          <w:tcPr>
            <w:tcW w:w="2025" w:type="dxa"/>
            <w:vAlign w:val="center"/>
          </w:tcPr>
          <w:p w14:paraId="3C2737AF" w14:textId="77777777" w:rsidR="00F10217" w:rsidRDefault="00CA0103">
            <w:pPr>
              <w:pStyle w:val="TableParagraph"/>
              <w:spacing w:before="10" w:afterLines="50" w:after="156"/>
              <w:ind w:left="656" w:right="645"/>
              <w:jc w:val="center"/>
              <w:rPr>
                <w:rFonts w:ascii="仿宋" w:eastAsia="仿宋" w:hAnsi="仿宋" w:cs="仿宋"/>
                <w:sz w:val="24"/>
              </w:rPr>
            </w:pPr>
            <w:r>
              <w:rPr>
                <w:rFonts w:ascii="仿宋" w:eastAsia="仿宋" w:hAnsi="仿宋" w:cs="仿宋" w:hint="eastAsia"/>
                <w:sz w:val="24"/>
              </w:rPr>
              <w:t>0</w:t>
            </w:r>
          </w:p>
        </w:tc>
        <w:tc>
          <w:tcPr>
            <w:tcW w:w="1516" w:type="dxa"/>
            <w:vAlign w:val="center"/>
          </w:tcPr>
          <w:p w14:paraId="479012E9" w14:textId="77777777" w:rsidR="00F10217" w:rsidRDefault="00CA0103">
            <w:pPr>
              <w:pStyle w:val="TableParagraph"/>
              <w:spacing w:before="10" w:afterLines="50" w:after="156"/>
              <w:ind w:left="418" w:right="398"/>
              <w:jc w:val="center"/>
              <w:rPr>
                <w:rFonts w:ascii="仿宋" w:eastAsia="仿宋" w:hAnsi="仿宋" w:cs="仿宋"/>
                <w:sz w:val="24"/>
              </w:rPr>
            </w:pPr>
            <w:r>
              <w:rPr>
                <w:rFonts w:ascii="仿宋" w:eastAsia="仿宋" w:hAnsi="仿宋" w:cs="仿宋" w:hint="eastAsia"/>
                <w:sz w:val="24"/>
              </w:rPr>
              <w:t>0</w:t>
            </w:r>
            <w:r>
              <w:rPr>
                <w:rFonts w:ascii="仿宋" w:eastAsia="仿宋" w:hAnsi="仿宋" w:cs="仿宋"/>
                <w:sz w:val="24"/>
              </w:rPr>
              <w:t>%</w:t>
            </w:r>
          </w:p>
        </w:tc>
      </w:tr>
      <w:tr w:rsidR="00F10217" w14:paraId="7A8187D9" w14:textId="77777777">
        <w:trPr>
          <w:gridAfter w:val="1"/>
          <w:wAfter w:w="7" w:type="dxa"/>
          <w:trHeight w:val="623"/>
          <w:jc w:val="center"/>
        </w:trPr>
        <w:tc>
          <w:tcPr>
            <w:tcW w:w="1268" w:type="dxa"/>
            <w:vMerge/>
            <w:vAlign w:val="center"/>
          </w:tcPr>
          <w:p w14:paraId="0C2AF18B" w14:textId="77777777" w:rsidR="00F10217" w:rsidRDefault="00F10217">
            <w:pPr>
              <w:spacing w:before="10" w:afterLines="50" w:after="156"/>
              <w:jc w:val="center"/>
              <w:rPr>
                <w:rFonts w:ascii="仿宋" w:eastAsia="仿宋" w:hAnsi="仿宋" w:cs="仿宋"/>
                <w:sz w:val="24"/>
              </w:rPr>
            </w:pPr>
          </w:p>
        </w:tc>
        <w:tc>
          <w:tcPr>
            <w:tcW w:w="1094" w:type="dxa"/>
            <w:vAlign w:val="center"/>
          </w:tcPr>
          <w:p w14:paraId="66811FE9" w14:textId="77777777" w:rsidR="00F10217" w:rsidRDefault="00CA0103">
            <w:pPr>
              <w:pStyle w:val="TableParagraph"/>
              <w:spacing w:before="10" w:afterLines="50" w:after="156"/>
              <w:ind w:left="10"/>
              <w:jc w:val="center"/>
              <w:rPr>
                <w:rFonts w:ascii="仿宋" w:eastAsia="仿宋" w:hAnsi="仿宋" w:cs="仿宋"/>
                <w:sz w:val="24"/>
              </w:rPr>
            </w:pPr>
            <w:r>
              <w:rPr>
                <w:rFonts w:ascii="仿宋" w:eastAsia="仿宋" w:hAnsi="仿宋" w:cs="仿宋" w:hint="eastAsia"/>
                <w:sz w:val="24"/>
              </w:rPr>
              <w:t>5</w:t>
            </w:r>
          </w:p>
        </w:tc>
        <w:tc>
          <w:tcPr>
            <w:tcW w:w="2430" w:type="dxa"/>
            <w:vAlign w:val="center"/>
          </w:tcPr>
          <w:p w14:paraId="02B21340" w14:textId="77777777" w:rsidR="00F10217" w:rsidRDefault="00CA0103">
            <w:pPr>
              <w:pStyle w:val="TableParagraph"/>
              <w:spacing w:before="10" w:afterLines="50" w:after="156"/>
              <w:ind w:left="47" w:right="32"/>
              <w:jc w:val="center"/>
              <w:rPr>
                <w:rFonts w:ascii="仿宋" w:eastAsia="仿宋" w:hAnsi="仿宋" w:cs="仿宋"/>
                <w:sz w:val="24"/>
              </w:rPr>
            </w:pPr>
            <w:r>
              <w:rPr>
                <w:rFonts w:ascii="仿宋" w:eastAsia="仿宋" w:hAnsi="仿宋" w:cs="仿宋" w:hint="eastAsia"/>
                <w:sz w:val="24"/>
              </w:rPr>
              <w:t>产品废弃后处置过程</w:t>
            </w:r>
          </w:p>
        </w:tc>
        <w:tc>
          <w:tcPr>
            <w:tcW w:w="2025" w:type="dxa"/>
            <w:vAlign w:val="center"/>
          </w:tcPr>
          <w:p w14:paraId="04993D6B" w14:textId="10FE3738" w:rsidR="00F10217" w:rsidRDefault="00E37465">
            <w:pPr>
              <w:pStyle w:val="TableParagraph"/>
              <w:spacing w:before="10" w:afterLines="50" w:after="156"/>
              <w:ind w:left="658" w:right="645"/>
              <w:jc w:val="center"/>
              <w:rPr>
                <w:rFonts w:ascii="仿宋" w:eastAsia="仿宋" w:hAnsi="仿宋" w:cs="仿宋"/>
                <w:sz w:val="24"/>
              </w:rPr>
            </w:pPr>
            <w:r>
              <w:rPr>
                <w:rFonts w:ascii="仿宋" w:eastAsia="仿宋" w:hAnsi="仿宋" w:cs="仿宋" w:hint="eastAsia"/>
                <w:sz w:val="24"/>
              </w:rPr>
              <w:t>2</w:t>
            </w:r>
            <w:r w:rsidR="00CA0103">
              <w:rPr>
                <w:rFonts w:ascii="仿宋" w:eastAsia="仿宋" w:hAnsi="仿宋" w:cs="仿宋"/>
                <w:sz w:val="24"/>
              </w:rPr>
              <w:t>.36</w:t>
            </w:r>
          </w:p>
        </w:tc>
        <w:tc>
          <w:tcPr>
            <w:tcW w:w="1516" w:type="dxa"/>
            <w:vAlign w:val="center"/>
          </w:tcPr>
          <w:p w14:paraId="05D5EA13" w14:textId="4EC89611" w:rsidR="00F10217" w:rsidRDefault="00C50A99">
            <w:pPr>
              <w:pStyle w:val="TableParagraph"/>
              <w:spacing w:before="10" w:afterLines="50" w:after="156"/>
              <w:ind w:left="418" w:right="398"/>
              <w:jc w:val="center"/>
              <w:rPr>
                <w:rFonts w:ascii="仿宋" w:eastAsia="仿宋" w:hAnsi="仿宋" w:cs="仿宋"/>
                <w:sz w:val="24"/>
              </w:rPr>
            </w:pPr>
            <w:r>
              <w:rPr>
                <w:rFonts w:ascii="仿宋" w:eastAsia="仿宋" w:hAnsi="仿宋" w:cs="仿宋" w:hint="eastAsia"/>
                <w:sz w:val="24"/>
              </w:rPr>
              <w:t>0.43</w:t>
            </w:r>
            <w:r w:rsidR="00CA0103">
              <w:rPr>
                <w:rFonts w:ascii="仿宋" w:eastAsia="仿宋" w:hAnsi="仿宋" w:cs="仿宋"/>
                <w:sz w:val="24"/>
              </w:rPr>
              <w:t>%</w:t>
            </w:r>
          </w:p>
        </w:tc>
      </w:tr>
      <w:tr w:rsidR="00F10217" w14:paraId="67F1F52E" w14:textId="77777777">
        <w:trPr>
          <w:gridAfter w:val="1"/>
          <w:wAfter w:w="7" w:type="dxa"/>
          <w:trHeight w:val="625"/>
          <w:jc w:val="center"/>
        </w:trPr>
        <w:tc>
          <w:tcPr>
            <w:tcW w:w="1268" w:type="dxa"/>
            <w:vMerge/>
            <w:vAlign w:val="center"/>
          </w:tcPr>
          <w:p w14:paraId="5645802D" w14:textId="77777777" w:rsidR="00F10217" w:rsidRDefault="00F10217">
            <w:pPr>
              <w:spacing w:before="10" w:afterLines="50" w:after="156"/>
              <w:jc w:val="center"/>
              <w:rPr>
                <w:rFonts w:ascii="仿宋" w:eastAsia="仿宋" w:hAnsi="仿宋" w:cs="仿宋"/>
                <w:sz w:val="24"/>
              </w:rPr>
            </w:pPr>
          </w:p>
        </w:tc>
        <w:tc>
          <w:tcPr>
            <w:tcW w:w="1094" w:type="dxa"/>
            <w:vAlign w:val="center"/>
          </w:tcPr>
          <w:p w14:paraId="43532A52" w14:textId="77777777" w:rsidR="00F10217" w:rsidRDefault="00CA0103">
            <w:pPr>
              <w:pStyle w:val="TableParagraph"/>
              <w:spacing w:before="10" w:afterLines="50" w:after="156"/>
              <w:ind w:left="299" w:right="288"/>
              <w:jc w:val="center"/>
              <w:rPr>
                <w:rFonts w:ascii="仿宋" w:eastAsia="仿宋" w:hAnsi="仿宋" w:cs="仿宋"/>
                <w:sz w:val="24"/>
              </w:rPr>
            </w:pPr>
            <w:r>
              <w:rPr>
                <w:rFonts w:ascii="仿宋" w:eastAsia="仿宋" w:hAnsi="仿宋" w:cs="仿宋" w:hint="eastAsia"/>
                <w:sz w:val="24"/>
              </w:rPr>
              <w:t>总计</w:t>
            </w:r>
          </w:p>
        </w:tc>
        <w:tc>
          <w:tcPr>
            <w:tcW w:w="2430" w:type="dxa"/>
            <w:vAlign w:val="center"/>
          </w:tcPr>
          <w:p w14:paraId="688B5BCF" w14:textId="77777777" w:rsidR="00F10217" w:rsidRDefault="00CA0103">
            <w:pPr>
              <w:pStyle w:val="TableParagraph"/>
              <w:spacing w:before="10" w:afterLines="50" w:after="156"/>
              <w:jc w:val="center"/>
              <w:rPr>
                <w:rFonts w:ascii="仿宋" w:eastAsia="仿宋" w:hAnsi="仿宋" w:cs="仿宋"/>
                <w:sz w:val="24"/>
              </w:rPr>
            </w:pPr>
            <w:r>
              <w:rPr>
                <w:rFonts w:ascii="仿宋" w:eastAsia="仿宋" w:hAnsi="仿宋" w:cs="仿宋" w:hint="eastAsia"/>
                <w:sz w:val="24"/>
              </w:rPr>
              <w:t>/</w:t>
            </w:r>
          </w:p>
        </w:tc>
        <w:tc>
          <w:tcPr>
            <w:tcW w:w="2025" w:type="dxa"/>
            <w:vAlign w:val="center"/>
          </w:tcPr>
          <w:p w14:paraId="454E141A" w14:textId="52C371D3" w:rsidR="00F10217" w:rsidRDefault="00CA0103">
            <w:pPr>
              <w:pStyle w:val="TableParagraph"/>
              <w:spacing w:before="10" w:afterLines="50" w:after="156"/>
              <w:ind w:right="645"/>
              <w:jc w:val="center"/>
              <w:rPr>
                <w:rFonts w:ascii="仿宋" w:eastAsia="仿宋" w:hAnsi="仿宋" w:cs="仿宋"/>
                <w:sz w:val="24"/>
              </w:rPr>
            </w:pPr>
            <w:r>
              <w:rPr>
                <w:rFonts w:ascii="仿宋" w:eastAsia="仿宋" w:hAnsi="仿宋" w:cs="仿宋" w:hint="eastAsia"/>
                <w:spacing w:val="-11"/>
                <w:kern w:val="0"/>
                <w:sz w:val="24"/>
              </w:rPr>
              <w:t xml:space="preserve">   </w:t>
            </w:r>
            <w:r w:rsidR="00E37465">
              <w:rPr>
                <w:rFonts w:ascii="仿宋" w:eastAsia="仿宋" w:hAnsi="仿宋" w:cs="仿宋" w:hint="eastAsia"/>
                <w:spacing w:val="-11"/>
                <w:kern w:val="0"/>
                <w:sz w:val="24"/>
              </w:rPr>
              <w:t>555.19</w:t>
            </w:r>
          </w:p>
        </w:tc>
        <w:tc>
          <w:tcPr>
            <w:tcW w:w="1516" w:type="dxa"/>
            <w:vAlign w:val="center"/>
          </w:tcPr>
          <w:p w14:paraId="5F66059B" w14:textId="77777777" w:rsidR="00F10217" w:rsidRDefault="00CA0103">
            <w:pPr>
              <w:pStyle w:val="TableParagraph"/>
              <w:spacing w:before="10" w:afterLines="50" w:after="156"/>
              <w:ind w:right="399"/>
              <w:jc w:val="center"/>
              <w:rPr>
                <w:rFonts w:ascii="仿宋" w:eastAsia="仿宋" w:hAnsi="仿宋" w:cs="仿宋"/>
                <w:sz w:val="24"/>
              </w:rPr>
            </w:pPr>
            <w:r>
              <w:rPr>
                <w:rFonts w:ascii="仿宋" w:eastAsia="仿宋" w:hAnsi="仿宋" w:cs="仿宋" w:hint="eastAsia"/>
                <w:sz w:val="24"/>
              </w:rPr>
              <w:t xml:space="preserve">  100.00%</w:t>
            </w:r>
          </w:p>
        </w:tc>
      </w:tr>
    </w:tbl>
    <w:p w14:paraId="4857D8CD" w14:textId="77777777" w:rsidR="00F10217" w:rsidRDefault="00F10217">
      <w:pPr>
        <w:widowControl/>
        <w:jc w:val="left"/>
        <w:rPr>
          <w:rFonts w:ascii="华文仿宋" w:eastAsia="华文仿宋" w:hAnsi="华文仿宋" w:cs="华文仿宋"/>
          <w:kern w:val="0"/>
          <w:sz w:val="28"/>
          <w:szCs w:val="28"/>
          <w:lang w:bidi="ar"/>
        </w:rPr>
      </w:pPr>
    </w:p>
    <w:p w14:paraId="6D250A4F"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t xml:space="preserve">所以为了减小汽车零部件碳足迹，应重点考虑减少产品生产使用能源的碳足迹，应考虑使用可再生能源、节能改造、进一步轻量化设计，提高汽车零部件碳足迹数据准确性。为减小产品碳足迹，建议如下： </w:t>
      </w:r>
    </w:p>
    <w:p w14:paraId="410970BC" w14:textId="77777777" w:rsidR="00F10217" w:rsidRDefault="00CA0103">
      <w:pPr>
        <w:widowControl/>
        <w:ind w:firstLineChars="150" w:firstLine="420"/>
        <w:jc w:val="left"/>
        <w:rPr>
          <w:sz w:val="28"/>
          <w:szCs w:val="28"/>
        </w:rPr>
      </w:pPr>
      <w:r>
        <w:rPr>
          <w:rFonts w:ascii="TimesNewRomanPSMT" w:eastAsia="TimesNewRomanPSMT" w:hAnsi="TimesNewRomanPSMT" w:cs="TimesNewRomanPSMT"/>
          <w:kern w:val="0"/>
          <w:sz w:val="28"/>
          <w:szCs w:val="28"/>
          <w:lang w:bidi="ar"/>
        </w:rPr>
        <w:t>1</w:t>
      </w:r>
      <w:r>
        <w:rPr>
          <w:rFonts w:ascii="华文仿宋" w:eastAsia="华文仿宋" w:hAnsi="华文仿宋" w:cs="华文仿宋" w:hint="eastAsia"/>
          <w:kern w:val="0"/>
          <w:sz w:val="28"/>
          <w:szCs w:val="28"/>
          <w:lang w:bidi="ar"/>
        </w:rPr>
        <w:t xml:space="preserve">）加强节能工作，从技术及管理层面提升能源效率，减少能源投入，厂内可考虑实施节能改造； </w:t>
      </w:r>
    </w:p>
    <w:p w14:paraId="2236B5D7" w14:textId="77777777" w:rsidR="00F10217" w:rsidRDefault="00CA0103">
      <w:pPr>
        <w:widowControl/>
        <w:ind w:firstLineChars="150" w:firstLine="420"/>
        <w:jc w:val="left"/>
        <w:rPr>
          <w:sz w:val="28"/>
          <w:szCs w:val="28"/>
        </w:rPr>
      </w:pPr>
      <w:r>
        <w:rPr>
          <w:rFonts w:ascii="华文仿宋" w:eastAsia="华文仿宋" w:hAnsi="华文仿宋" w:cs="华文仿宋" w:hint="eastAsia"/>
          <w:kern w:val="0"/>
          <w:sz w:val="28"/>
          <w:szCs w:val="28"/>
          <w:lang w:bidi="ar"/>
        </w:rPr>
        <w:t>2）加大对可再生能源、清洁能源的投入、同时实施能源智能化管理，实施分析各生产环节的能耗情况，便于后续发现节能空间；</w:t>
      </w:r>
    </w:p>
    <w:p w14:paraId="27EAAEE8" w14:textId="77777777" w:rsidR="00F10217" w:rsidRDefault="00CA0103">
      <w:pPr>
        <w:widowControl/>
        <w:ind w:firstLineChars="150" w:firstLine="420"/>
        <w:jc w:val="left"/>
        <w:rPr>
          <w:rFonts w:ascii="华文仿宋" w:eastAsia="华文仿宋" w:hAnsi="华文仿宋" w:cs="华文仿宋"/>
          <w:kern w:val="0"/>
          <w:sz w:val="28"/>
          <w:szCs w:val="28"/>
          <w:lang w:bidi="ar"/>
        </w:rPr>
      </w:pPr>
      <w:r>
        <w:rPr>
          <w:rFonts w:ascii="TimesNewRomanPSMT" w:eastAsia="TimesNewRomanPSMT" w:hAnsi="TimesNewRomanPSMT" w:cs="TimesNewRomanPSMT"/>
          <w:kern w:val="0"/>
          <w:sz w:val="28"/>
          <w:szCs w:val="28"/>
          <w:lang w:bidi="ar"/>
        </w:rPr>
        <w:t>3</w:t>
      </w:r>
      <w:r>
        <w:rPr>
          <w:rFonts w:ascii="华文仿宋" w:eastAsia="华文仿宋" w:hAnsi="华文仿宋" w:cs="华文仿宋" w:hint="eastAsia"/>
          <w:kern w:val="0"/>
          <w:sz w:val="28"/>
          <w:szCs w:val="28"/>
          <w:lang w:bidi="ar"/>
        </w:rPr>
        <w:t xml:space="preserve">）在分析指标的符合性评价结果以及碳足迹分析、计算结果的基础上，结合环境友好的设计方案采用、落实生产者责任延伸制度、绿色供应链管理等工作，提出产品生态设计改进的具体方案； </w:t>
      </w:r>
    </w:p>
    <w:p w14:paraId="7144BDCA" w14:textId="77777777" w:rsidR="00F10217" w:rsidRDefault="00CA0103">
      <w:pPr>
        <w:widowControl/>
        <w:numPr>
          <w:ilvl w:val="0"/>
          <w:numId w:val="2"/>
        </w:numPr>
        <w:ind w:firstLineChars="150" w:firstLine="420"/>
        <w:jc w:val="left"/>
        <w:rPr>
          <w:sz w:val="28"/>
          <w:szCs w:val="28"/>
        </w:rPr>
      </w:pPr>
      <w:r>
        <w:rPr>
          <w:rFonts w:ascii="华文仿宋" w:eastAsia="华文仿宋" w:hAnsi="华文仿宋" w:cs="华文仿宋" w:hint="eastAsia"/>
          <w:kern w:val="0"/>
          <w:sz w:val="28"/>
          <w:szCs w:val="28"/>
          <w:lang w:bidi="ar"/>
        </w:rPr>
        <w:t>继续推进绿色低碳发展意识、坚定树立企业可持续发展原则，加强生命周期理念的宣传和实践。运用科学方法，加强产品碳足迹全过程中数据的积累和记录，定期对产品全生命周期的环境影响进行自，以便企业内部开展相关对比分析，发现问题。在生态设计管理、组织、人员等方面进一步完善；</w:t>
      </w:r>
    </w:p>
    <w:p w14:paraId="7531E178" w14:textId="77777777" w:rsidR="00F10217" w:rsidRDefault="00CA0103">
      <w:pPr>
        <w:widowControl/>
        <w:ind w:firstLineChars="150" w:firstLine="420"/>
        <w:jc w:val="left"/>
        <w:rPr>
          <w:sz w:val="28"/>
          <w:szCs w:val="28"/>
        </w:rPr>
      </w:pPr>
      <w:r>
        <w:rPr>
          <w:rFonts w:ascii="TimesNewRomanPSMT" w:eastAsia="TimesNewRomanPSMT" w:hAnsi="TimesNewRomanPSMT" w:cs="TimesNewRomanPSMT"/>
          <w:kern w:val="0"/>
          <w:sz w:val="28"/>
          <w:szCs w:val="28"/>
          <w:lang w:bidi="ar"/>
        </w:rPr>
        <w:t>5</w:t>
      </w:r>
      <w:r>
        <w:rPr>
          <w:rFonts w:ascii="华文仿宋" w:eastAsia="华文仿宋" w:hAnsi="华文仿宋" w:cs="华文仿宋" w:hint="eastAsia"/>
          <w:kern w:val="0"/>
          <w:sz w:val="28"/>
          <w:szCs w:val="28"/>
          <w:lang w:bidi="ar"/>
        </w:rPr>
        <w:t xml:space="preserve">）推进产业链的绿色设计发展，制定生态设计管理体制和生态设计管理制度，明确任务分工；构建支撑企业生态设计的评价体系；建立打造绿色供应链的相关制度，推动供应链协同改进。 </w:t>
      </w:r>
    </w:p>
    <w:p w14:paraId="15A3B8CD" w14:textId="77777777" w:rsidR="00F10217" w:rsidRDefault="00CA0103">
      <w:pPr>
        <w:numPr>
          <w:ilvl w:val="0"/>
          <w:numId w:val="1"/>
        </w:numPr>
        <w:outlineLvl w:val="0"/>
        <w:rPr>
          <w:rFonts w:ascii="仿宋" w:eastAsia="仿宋" w:hAnsi="仿宋" w:cs="仿宋"/>
          <w:b/>
          <w:bCs/>
          <w:sz w:val="28"/>
          <w:szCs w:val="28"/>
        </w:rPr>
      </w:pPr>
      <w:r>
        <w:rPr>
          <w:rFonts w:ascii="仿宋" w:eastAsia="仿宋" w:hAnsi="仿宋" w:cs="仿宋" w:hint="eastAsia"/>
          <w:b/>
          <w:bCs/>
          <w:sz w:val="28"/>
          <w:szCs w:val="28"/>
        </w:rPr>
        <w:t xml:space="preserve">不确定分析 </w:t>
      </w:r>
    </w:p>
    <w:p w14:paraId="44F53BDB"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lastRenderedPageBreak/>
        <w:t>不确定性的主要来源为初级数据存在测量误差和计算误差。减少不确定性的方法主要有：</w:t>
      </w:r>
    </w:p>
    <w:p w14:paraId="0F0620EB"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t>使用准确率较高的初级数据；</w:t>
      </w:r>
    </w:p>
    <w:p w14:paraId="7929A179"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t xml:space="preserve">对每道工序都进行能源消耗的跟踪监测，提高初级数据的准确性。 </w:t>
      </w:r>
    </w:p>
    <w:p w14:paraId="4D249172" w14:textId="77777777" w:rsidR="00F10217" w:rsidRDefault="00CA0103">
      <w:pPr>
        <w:numPr>
          <w:ilvl w:val="0"/>
          <w:numId w:val="1"/>
        </w:numPr>
        <w:outlineLvl w:val="0"/>
        <w:rPr>
          <w:rFonts w:ascii="仿宋" w:eastAsia="仿宋" w:hAnsi="仿宋" w:cs="仿宋"/>
          <w:b/>
          <w:bCs/>
          <w:sz w:val="28"/>
          <w:szCs w:val="28"/>
        </w:rPr>
      </w:pPr>
      <w:r>
        <w:rPr>
          <w:rFonts w:ascii="仿宋" w:eastAsia="仿宋" w:hAnsi="仿宋" w:cs="仿宋" w:hint="eastAsia"/>
          <w:b/>
          <w:bCs/>
          <w:sz w:val="28"/>
          <w:szCs w:val="28"/>
        </w:rPr>
        <w:t xml:space="preserve">结语 </w:t>
      </w:r>
    </w:p>
    <w:p w14:paraId="0EECB13C" w14:textId="77777777" w:rsidR="00F10217" w:rsidRDefault="00CA0103">
      <w:pPr>
        <w:widowControl/>
        <w:ind w:firstLineChars="200" w:firstLine="560"/>
        <w:jc w:val="left"/>
        <w:rPr>
          <w:sz w:val="28"/>
          <w:szCs w:val="28"/>
        </w:rPr>
      </w:pPr>
      <w:r>
        <w:rPr>
          <w:rFonts w:ascii="华文仿宋" w:eastAsia="华文仿宋" w:hAnsi="华文仿宋" w:cs="华文仿宋" w:hint="eastAsia"/>
          <w:kern w:val="0"/>
          <w:sz w:val="28"/>
          <w:szCs w:val="28"/>
          <w:lang w:bidi="ar"/>
        </w:rPr>
        <w:t>低碳是企业未来生存和发展的必然选择，进行产品碳足迹的核算是实现温室气体管理，制定低碳发展战略的第一步。通过产品生命周期的碳足迹核算，可以了解排放源，明确各生产环节的排放量，为制定合理的减排目标和发展战略打下基础。</w:t>
      </w:r>
    </w:p>
    <w:sectPr w:rsidR="00F10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C8C9" w14:textId="77777777" w:rsidR="00DC6061" w:rsidRDefault="00DC6061" w:rsidP="00E37465">
      <w:r>
        <w:separator/>
      </w:r>
    </w:p>
  </w:endnote>
  <w:endnote w:type="continuationSeparator" w:id="0">
    <w:p w14:paraId="3F68FE58" w14:textId="77777777" w:rsidR="00DC6061" w:rsidRDefault="00DC6061" w:rsidP="00E3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01758" w14:textId="77777777" w:rsidR="00DC6061" w:rsidRDefault="00DC6061" w:rsidP="00E37465">
      <w:r>
        <w:separator/>
      </w:r>
    </w:p>
  </w:footnote>
  <w:footnote w:type="continuationSeparator" w:id="0">
    <w:p w14:paraId="0B78D6E7" w14:textId="77777777" w:rsidR="00DC6061" w:rsidRDefault="00DC6061" w:rsidP="00E3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F119E7"/>
    <w:multiLevelType w:val="multilevel"/>
    <w:tmpl w:val="88F119E7"/>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D1E2F32F"/>
    <w:multiLevelType w:val="singleLevel"/>
    <w:tmpl w:val="D1E2F32F"/>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1A6C0F"/>
    <w:rsid w:val="00020716"/>
    <w:rsid w:val="00127FDC"/>
    <w:rsid w:val="002D3679"/>
    <w:rsid w:val="00335DAF"/>
    <w:rsid w:val="003666B1"/>
    <w:rsid w:val="00373311"/>
    <w:rsid w:val="00565C0A"/>
    <w:rsid w:val="008008BC"/>
    <w:rsid w:val="009F12CC"/>
    <w:rsid w:val="00B27D9D"/>
    <w:rsid w:val="00C50A99"/>
    <w:rsid w:val="00CA0103"/>
    <w:rsid w:val="00D86730"/>
    <w:rsid w:val="00DC6061"/>
    <w:rsid w:val="00E37465"/>
    <w:rsid w:val="00F10217"/>
    <w:rsid w:val="00F201C6"/>
    <w:rsid w:val="03B62E5C"/>
    <w:rsid w:val="0F5E2CCB"/>
    <w:rsid w:val="11362B51"/>
    <w:rsid w:val="156B7AE2"/>
    <w:rsid w:val="291A6C0F"/>
    <w:rsid w:val="294637F3"/>
    <w:rsid w:val="29660B48"/>
    <w:rsid w:val="305A3261"/>
    <w:rsid w:val="3A8D1A96"/>
    <w:rsid w:val="3E084DDA"/>
    <w:rsid w:val="4B0C5EF1"/>
    <w:rsid w:val="53D873D5"/>
    <w:rsid w:val="597A18DE"/>
    <w:rsid w:val="5A3C523A"/>
    <w:rsid w:val="6161769B"/>
    <w:rsid w:val="6CBF45AB"/>
    <w:rsid w:val="6FBF782C"/>
    <w:rsid w:val="7A081ECF"/>
    <w:rsid w:val="7E536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0A4C"/>
  <w15:docId w15:val="{6A6E89FB-43B6-48D1-B8E7-27A84556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Pr>
      <w:rFonts w:ascii="宋体" w:eastAsia="宋体" w:hAnsi="宋体" w:cs="宋体"/>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Body Text"/>
    <w:basedOn w:val="a"/>
    <w:link w:val="a9"/>
    <w:uiPriority w:val="99"/>
    <w:qFormat/>
    <w:rsid w:val="00127FDC"/>
    <w:pPr>
      <w:autoSpaceDE w:val="0"/>
      <w:autoSpaceDN w:val="0"/>
      <w:jc w:val="left"/>
    </w:pPr>
    <w:rPr>
      <w:rFonts w:ascii="仿宋" w:eastAsia="仿宋" w:hAnsi="仿宋" w:cs="仿宋"/>
      <w:kern w:val="0"/>
      <w:sz w:val="30"/>
      <w:szCs w:val="30"/>
      <w:lang w:val="zh-CN"/>
    </w:rPr>
  </w:style>
  <w:style w:type="character" w:customStyle="1" w:styleId="a9">
    <w:name w:val="正文文本 字符"/>
    <w:basedOn w:val="a0"/>
    <w:link w:val="a8"/>
    <w:uiPriority w:val="99"/>
    <w:rsid w:val="00127FDC"/>
    <w:rPr>
      <w:rFonts w:ascii="仿宋" w:eastAsia="仿宋" w:hAnsi="仿宋" w:cs="仿宋"/>
      <w:sz w:val="30"/>
      <w:szCs w:val="30"/>
      <w:lang w:val="zh-CN"/>
    </w:rPr>
  </w:style>
  <w:style w:type="paragraph" w:styleId="aa">
    <w:name w:val="Normal (Web)"/>
    <w:basedOn w:val="a"/>
    <w:uiPriority w:val="99"/>
    <w:unhideWhenUsed/>
    <w:qFormat/>
    <w:rsid w:val="00127FDC"/>
    <w:pPr>
      <w:widowControl/>
      <w:autoSpaceDE w:val="0"/>
      <w:autoSpaceDN w:val="0"/>
      <w:spacing w:after="150"/>
      <w:jc w:val="left"/>
    </w:pPr>
    <w:rPr>
      <w:rFonts w:ascii="宋体" w:eastAsia="宋体" w:hAnsi="宋体" w:cs="宋体"/>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简</dc:creator>
  <cp:lastModifiedBy>1</cp:lastModifiedBy>
  <cp:revision>4</cp:revision>
  <dcterms:created xsi:type="dcterms:W3CDTF">2020-05-10T07:06:00Z</dcterms:created>
  <dcterms:modified xsi:type="dcterms:W3CDTF">2020-11-23T05:50:00Z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